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7E729FF3" w:rsidR="00275AE3" w:rsidRPr="00DE39B5" w:rsidRDefault="00B669A0" w:rsidP="00B669A0">
      <w:pPr>
        <w:spacing w:after="0"/>
        <w:jc w:val="center"/>
        <w:rPr>
          <w:b/>
          <w:bCs/>
          <w:lang w:val="en-GB"/>
        </w:rPr>
      </w:pPr>
      <w:r w:rsidRPr="00DE39B5">
        <w:rPr>
          <w:b/>
          <w:bCs/>
          <w:lang w:val="en-GB"/>
        </w:rPr>
        <w:t>TARGETED STAKEHOLDER CONSULTATION 2021 RULE OF LAW REPORT</w:t>
      </w:r>
    </w:p>
    <w:p w14:paraId="23699319" w14:textId="575C3A05" w:rsidR="00B669A0" w:rsidRPr="00DE39B5" w:rsidRDefault="00B669A0" w:rsidP="00B669A0">
      <w:pPr>
        <w:spacing w:after="0"/>
        <w:jc w:val="center"/>
        <w:rPr>
          <w:b/>
          <w:bCs/>
          <w:lang w:val="en-GB"/>
        </w:rPr>
      </w:pPr>
      <w:r w:rsidRPr="00DE39B5">
        <w:rPr>
          <w:b/>
          <w:bCs/>
          <w:lang w:val="en-GB"/>
        </w:rPr>
        <w:t>UN HUMAN RIGHTS REGIONAL OFFICE FOR EUROPE (OHCHR)</w:t>
      </w:r>
    </w:p>
    <w:p w14:paraId="56642246" w14:textId="77777777" w:rsidR="00B669A0" w:rsidRPr="00DE39B5" w:rsidRDefault="00B669A0" w:rsidP="00B669A0">
      <w:pPr>
        <w:spacing w:after="0"/>
        <w:rPr>
          <w:b/>
          <w:bCs/>
          <w:lang w:val="en-GB"/>
        </w:rPr>
      </w:pPr>
    </w:p>
    <w:p w14:paraId="465166AB" w14:textId="04C18D26" w:rsidR="001B7CA2" w:rsidRPr="00DE39B5" w:rsidRDefault="002335D2" w:rsidP="00B669A0">
      <w:pPr>
        <w:pBdr>
          <w:bottom w:val="single" w:sz="4" w:space="1" w:color="auto"/>
        </w:pBdr>
        <w:rPr>
          <w:b/>
          <w:bCs/>
          <w:lang w:val="en-GB"/>
        </w:rPr>
      </w:pPr>
      <w:r>
        <w:rPr>
          <w:b/>
          <w:bCs/>
          <w:lang w:val="en-GB"/>
        </w:rPr>
        <w:t>SPAIN</w:t>
      </w:r>
      <w:r w:rsidR="00B669A0" w:rsidRPr="00DE39B5">
        <w:rPr>
          <w:b/>
          <w:bCs/>
          <w:lang w:val="en-GB"/>
        </w:rPr>
        <w:t xml:space="preserve"> REVIEW</w:t>
      </w:r>
    </w:p>
    <w:p w14:paraId="2EEF89E7" w14:textId="77777777" w:rsidR="001B7CA2" w:rsidRPr="00DE39B5" w:rsidRDefault="001B7CA2" w:rsidP="009A0C29">
      <w:pPr>
        <w:spacing w:line="240" w:lineRule="auto"/>
        <w:jc w:val="both"/>
        <w:rPr>
          <w:lang w:val="en-GB"/>
        </w:rPr>
      </w:pPr>
      <w:r w:rsidRPr="00DE39B5">
        <w:rPr>
          <w:b/>
          <w:bCs/>
          <w:lang w:val="en-GB"/>
        </w:rPr>
        <w:t xml:space="preserve">I. Justice System </w:t>
      </w:r>
    </w:p>
    <w:p w14:paraId="368A2681" w14:textId="77777777" w:rsidR="001B7CA2" w:rsidRPr="00DE39B5" w:rsidRDefault="001B7CA2" w:rsidP="009A0C29">
      <w:pPr>
        <w:spacing w:line="240" w:lineRule="auto"/>
        <w:jc w:val="both"/>
        <w:rPr>
          <w:lang w:val="en-GB"/>
        </w:rPr>
      </w:pPr>
      <w:r w:rsidRPr="00DE39B5">
        <w:rPr>
          <w:b/>
          <w:bCs/>
          <w:i/>
          <w:iCs/>
          <w:lang w:val="en-GB"/>
        </w:rPr>
        <w:t xml:space="preserve">A. Independence </w:t>
      </w:r>
    </w:p>
    <w:p w14:paraId="6CF3F68E" w14:textId="77777777" w:rsidR="001B7CA2" w:rsidRPr="00DE39B5" w:rsidRDefault="001B7CA2" w:rsidP="009A0C29">
      <w:pPr>
        <w:spacing w:line="240" w:lineRule="auto"/>
        <w:jc w:val="both"/>
        <w:rPr>
          <w:lang w:val="en-GB"/>
        </w:rPr>
      </w:pPr>
      <w:r w:rsidRPr="00DE39B5">
        <w:rPr>
          <w:i/>
          <w:iCs/>
          <w:lang w:val="en-GB"/>
        </w:rPr>
        <w:t xml:space="preserve">1. Appointment and selection of judges, prosecutors and court presidents </w:t>
      </w:r>
    </w:p>
    <w:p w14:paraId="6646A1AA" w14:textId="77777777" w:rsidR="001B7CA2" w:rsidRPr="00DE39B5" w:rsidRDefault="001B7CA2" w:rsidP="009A0C29">
      <w:pPr>
        <w:spacing w:line="240" w:lineRule="auto"/>
        <w:jc w:val="both"/>
        <w:rPr>
          <w:lang w:val="en-GB"/>
        </w:rPr>
      </w:pPr>
      <w:r w:rsidRPr="00DE39B5">
        <w:rPr>
          <w:i/>
          <w:iCs/>
          <w:lang w:val="en-GB"/>
        </w:rPr>
        <w:t xml:space="preserve">2. Irremovability of judges; including transfers, dismissal and retirement regime of judges, court presidents and prosecutors </w:t>
      </w:r>
    </w:p>
    <w:p w14:paraId="3EB4EF2B" w14:textId="77777777" w:rsidR="001B7CA2" w:rsidRPr="00DE39B5" w:rsidRDefault="001B7CA2" w:rsidP="009A0C29">
      <w:pPr>
        <w:spacing w:line="240" w:lineRule="auto"/>
        <w:jc w:val="both"/>
        <w:rPr>
          <w:lang w:val="en-GB"/>
        </w:rPr>
      </w:pPr>
      <w:r w:rsidRPr="00DE39B5">
        <w:rPr>
          <w:i/>
          <w:iCs/>
          <w:lang w:val="en-GB"/>
        </w:rPr>
        <w:t xml:space="preserve">3. Promotion of judges and prosecutors </w:t>
      </w:r>
    </w:p>
    <w:p w14:paraId="3E481A7D" w14:textId="77777777" w:rsidR="001B7CA2" w:rsidRPr="00DE39B5" w:rsidRDefault="001B7CA2" w:rsidP="009A0C29">
      <w:pPr>
        <w:spacing w:line="240" w:lineRule="auto"/>
        <w:jc w:val="both"/>
        <w:rPr>
          <w:lang w:val="en-GB"/>
        </w:rPr>
      </w:pPr>
      <w:r w:rsidRPr="00DE39B5">
        <w:rPr>
          <w:i/>
          <w:iCs/>
          <w:lang w:val="en-GB"/>
        </w:rPr>
        <w:t xml:space="preserve">4. Allocation of cases in courts </w:t>
      </w:r>
    </w:p>
    <w:p w14:paraId="6F2D0D64" w14:textId="77777777" w:rsidR="001B7CA2" w:rsidRPr="00DE39B5" w:rsidRDefault="001B7CA2" w:rsidP="009A0C29">
      <w:pPr>
        <w:spacing w:line="240" w:lineRule="auto"/>
        <w:jc w:val="both"/>
        <w:rPr>
          <w:lang w:val="en-GB"/>
        </w:rPr>
      </w:pPr>
      <w:r w:rsidRPr="00DE39B5">
        <w:rPr>
          <w:i/>
          <w:iCs/>
          <w:lang w:val="en-GB"/>
        </w:rPr>
        <w:t xml:space="preserve">5. Independence (including composition and nomination of its members), and powers of the body tasked with safeguarding the independence of the judiciary (e.g. Council for the Judiciary) </w:t>
      </w:r>
    </w:p>
    <w:p w14:paraId="58A1D16D" w14:textId="76031496" w:rsidR="00E43B0F" w:rsidRPr="00E43B0F" w:rsidRDefault="001B7CA2" w:rsidP="009A0C29">
      <w:pPr>
        <w:spacing w:line="240" w:lineRule="auto"/>
        <w:jc w:val="both"/>
        <w:rPr>
          <w:i/>
          <w:iCs/>
          <w:lang w:val="en-GB"/>
        </w:rPr>
      </w:pPr>
      <w:r w:rsidRPr="00DE39B5">
        <w:rPr>
          <w:i/>
          <w:iCs/>
          <w:lang w:val="en-GB"/>
        </w:rPr>
        <w:t xml:space="preserve">6. Accountability of judges and prosecutors, including disciplinary regime and bodies and ethical rules, judicial immunity and criminal liability of judges. </w:t>
      </w:r>
    </w:p>
    <w:p w14:paraId="59D76928" w14:textId="77777777" w:rsidR="001B7CA2" w:rsidRPr="00DE39B5" w:rsidRDefault="001B7CA2" w:rsidP="009A0C29">
      <w:pPr>
        <w:spacing w:line="240" w:lineRule="auto"/>
        <w:jc w:val="both"/>
        <w:rPr>
          <w:lang w:val="en-GB"/>
        </w:rPr>
      </w:pPr>
      <w:r w:rsidRPr="00DE39B5">
        <w:rPr>
          <w:i/>
          <w:iCs/>
          <w:lang w:val="en-GB"/>
        </w:rPr>
        <w:t xml:space="preserve">7. Remuneration/bonuses for judges and prosecutors </w:t>
      </w:r>
    </w:p>
    <w:p w14:paraId="37EA107A" w14:textId="77777777" w:rsidR="001B7CA2" w:rsidRPr="00DE39B5" w:rsidRDefault="001B7CA2" w:rsidP="009A0C29">
      <w:pPr>
        <w:spacing w:line="240" w:lineRule="auto"/>
        <w:jc w:val="both"/>
        <w:rPr>
          <w:lang w:val="en-GB"/>
        </w:rPr>
      </w:pPr>
      <w:r w:rsidRPr="00DE39B5">
        <w:rPr>
          <w:i/>
          <w:iCs/>
          <w:lang w:val="en-GB"/>
        </w:rPr>
        <w:t xml:space="preserve">8. Independence/autonomy of the prosecution service </w:t>
      </w:r>
    </w:p>
    <w:p w14:paraId="2986F635" w14:textId="77777777" w:rsidR="001B7CA2" w:rsidRPr="00DE39B5" w:rsidRDefault="001B7CA2" w:rsidP="009A0C29">
      <w:pPr>
        <w:spacing w:line="240" w:lineRule="auto"/>
        <w:jc w:val="both"/>
        <w:rPr>
          <w:lang w:val="en-GB"/>
        </w:rPr>
      </w:pPr>
      <w:r w:rsidRPr="00DE39B5">
        <w:rPr>
          <w:i/>
          <w:iCs/>
          <w:lang w:val="en-GB"/>
        </w:rPr>
        <w:t xml:space="preserve">9. Independence of the Bar (chamber/association of lawyers) and of lawyers </w:t>
      </w:r>
    </w:p>
    <w:p w14:paraId="39A01995" w14:textId="6F39C267" w:rsidR="001B7CA2" w:rsidRDefault="001B7CA2" w:rsidP="009A0C29">
      <w:pPr>
        <w:spacing w:line="240" w:lineRule="auto"/>
        <w:jc w:val="both"/>
        <w:rPr>
          <w:i/>
          <w:iCs/>
          <w:lang w:val="en-GB"/>
        </w:rPr>
      </w:pPr>
      <w:r w:rsidRPr="00DE39B5">
        <w:rPr>
          <w:i/>
          <w:iCs/>
          <w:lang w:val="en-GB"/>
        </w:rPr>
        <w:t xml:space="preserve">10. Significant developments capable of affecting the perception that the general public has of the independence of the judiciary </w:t>
      </w:r>
    </w:p>
    <w:p w14:paraId="4E024A29" w14:textId="5FAAF8FE" w:rsidR="001B7CA2" w:rsidRPr="00DE39B5" w:rsidRDefault="001B7CA2" w:rsidP="009A0C29">
      <w:pPr>
        <w:spacing w:line="240" w:lineRule="auto"/>
        <w:jc w:val="both"/>
        <w:rPr>
          <w:lang w:val="en-GB"/>
        </w:rPr>
      </w:pPr>
      <w:r w:rsidRPr="00DE39B5">
        <w:rPr>
          <w:b/>
          <w:bCs/>
          <w:i/>
          <w:iCs/>
          <w:lang w:val="en-GB"/>
        </w:rPr>
        <w:t xml:space="preserve">B. Quality of justice </w:t>
      </w:r>
    </w:p>
    <w:p w14:paraId="48E3E95A" w14:textId="5390EA9D" w:rsidR="001B7CA2" w:rsidRDefault="001B7CA2" w:rsidP="009A0C29">
      <w:pPr>
        <w:spacing w:line="240" w:lineRule="auto"/>
        <w:jc w:val="both"/>
        <w:rPr>
          <w:i/>
          <w:iCs/>
          <w:lang w:val="en-GB"/>
        </w:rPr>
      </w:pPr>
      <w:r w:rsidRPr="00DE39B5">
        <w:rPr>
          <w:i/>
          <w:iCs/>
          <w:lang w:val="en-GB"/>
        </w:rPr>
        <w:t xml:space="preserve">11. Accessibility of courts (e.g. court fees, legal aid, language) </w:t>
      </w:r>
    </w:p>
    <w:p w14:paraId="6EC6FC1F" w14:textId="78FFB60E" w:rsidR="008604E4" w:rsidRDefault="003819DA" w:rsidP="009A0C29">
      <w:pPr>
        <w:spacing w:line="240" w:lineRule="auto"/>
        <w:jc w:val="both"/>
        <w:rPr>
          <w:lang w:val="en-GB"/>
        </w:rPr>
      </w:pPr>
      <w:r>
        <w:rPr>
          <w:lang w:val="en-GB"/>
        </w:rPr>
        <w:t>In the 2020 report of his</w:t>
      </w:r>
      <w:r w:rsidR="000F44BE">
        <w:rPr>
          <w:lang w:val="en-GB"/>
        </w:rPr>
        <w:t xml:space="preserve"> official visit to Spain</w:t>
      </w:r>
      <w:r w:rsidR="008604E4">
        <w:rPr>
          <w:lang w:val="en-GB"/>
        </w:rPr>
        <w:t xml:space="preserve">, the </w:t>
      </w:r>
      <w:r w:rsidR="0037540E">
        <w:rPr>
          <w:lang w:val="en-GB"/>
        </w:rPr>
        <w:t xml:space="preserve">UN </w:t>
      </w:r>
      <w:r w:rsidR="008604E4">
        <w:rPr>
          <w:lang w:val="en-GB"/>
        </w:rPr>
        <w:t xml:space="preserve">Special Rapporteur on minority issues </w:t>
      </w:r>
      <w:r w:rsidR="00616288">
        <w:rPr>
          <w:lang w:val="en-GB"/>
        </w:rPr>
        <w:t>noted that, while</w:t>
      </w:r>
      <w:r w:rsidR="00616288" w:rsidRPr="003819DA">
        <w:rPr>
          <w:lang w:val="en-US"/>
        </w:rPr>
        <w:t xml:space="preserve"> existing legislation recognizes the co-official status of Basque with Castilian in the Basque-speaking regions of Navarre and the mixed-language zones, </w:t>
      </w:r>
      <w:r w:rsidR="00616288" w:rsidRPr="00F81AFD">
        <w:rPr>
          <w:lang w:val="en-US"/>
        </w:rPr>
        <w:t>judicial pronouncements have in recent years limited the permissible use of minority languages</w:t>
      </w:r>
      <w:r w:rsidR="00616288" w:rsidRPr="00616288">
        <w:rPr>
          <w:lang w:val="en-US"/>
        </w:rPr>
        <w:t xml:space="preserve"> </w:t>
      </w:r>
      <w:r w:rsidR="00616288">
        <w:rPr>
          <w:lang w:val="en-US"/>
        </w:rPr>
        <w:t>i</w:t>
      </w:r>
      <w:r w:rsidR="00616288" w:rsidRPr="003819DA">
        <w:rPr>
          <w:lang w:val="en-US"/>
        </w:rPr>
        <w:t>n Navarre, as in other parts of the country. This includes an October 2019 pronouncement of the High Court of Justice of Navarre that overturned provisions requiring bilingual public signage and notices in mixed-languag</w:t>
      </w:r>
      <w:r w:rsidR="00616288">
        <w:rPr>
          <w:lang w:val="en-US"/>
        </w:rPr>
        <w:t>e and non-Basque-speaking areas</w:t>
      </w:r>
      <w:r w:rsidR="00616288" w:rsidRPr="003819DA">
        <w:rPr>
          <w:lang w:val="en-US"/>
        </w:rPr>
        <w:t xml:space="preserve">. Article 231 of the organic law on the judiciary has been identified as one of the obstacles to the full implementation by Spain of its human rights obligations in relation to the use of co-official minority languages, since it stipulates that in judicial procedures, judges, magistrates, prosecutors, clerks and other officers are to use Castilian, and that co-official minority languages will be allowed only if no party objects. </w:t>
      </w:r>
      <w:r w:rsidR="00616288">
        <w:rPr>
          <w:lang w:val="en-US"/>
        </w:rPr>
        <w:t xml:space="preserve">The </w:t>
      </w:r>
      <w:r>
        <w:rPr>
          <w:lang w:val="en-US"/>
        </w:rPr>
        <w:t xml:space="preserve">UN </w:t>
      </w:r>
      <w:r w:rsidR="00616288">
        <w:rPr>
          <w:lang w:val="en-US"/>
        </w:rPr>
        <w:t xml:space="preserve">Special Rapporteur </w:t>
      </w:r>
      <w:r w:rsidR="008604E4">
        <w:rPr>
          <w:lang w:val="en-GB"/>
        </w:rPr>
        <w:t xml:space="preserve">invited the Government of Spain to modify </w:t>
      </w:r>
      <w:r w:rsidR="008604E4" w:rsidRPr="00E91345">
        <w:rPr>
          <w:lang w:val="en-GB"/>
        </w:rPr>
        <w:t>article 231 of the organic law on the judiciary in order to guarantee a more directly exercisable right to use a minority co-official language jointly with Castilian</w:t>
      </w:r>
      <w:r w:rsidR="00C31B1C">
        <w:rPr>
          <w:lang w:val="en-GB"/>
        </w:rPr>
        <w:t>,</w:t>
      </w:r>
      <w:r w:rsidR="008604E4" w:rsidRPr="00E91345">
        <w:rPr>
          <w:lang w:val="en-GB"/>
        </w:rPr>
        <w:t xml:space="preserve"> so that the proceedings for criminal, civil and administrative judicial authorities can effectively be hel</w:t>
      </w:r>
      <w:r w:rsidR="008573FC">
        <w:rPr>
          <w:lang w:val="en-GB"/>
        </w:rPr>
        <w:t>d in both co-official languages (</w:t>
      </w:r>
      <w:hyperlink r:id="rId8" w:history="1">
        <w:r w:rsidR="008604E4" w:rsidRPr="00E91345">
          <w:rPr>
            <w:rStyle w:val="Hyperlink"/>
            <w:lang w:val="en-GB"/>
          </w:rPr>
          <w:t>A/HRC/43/47/Add.1</w:t>
        </w:r>
      </w:hyperlink>
      <w:r w:rsidR="008604E4">
        <w:rPr>
          <w:lang w:val="en-GB"/>
        </w:rPr>
        <w:t>, para</w:t>
      </w:r>
      <w:r w:rsidR="00616288">
        <w:rPr>
          <w:lang w:val="en-GB"/>
        </w:rPr>
        <w:t xml:space="preserve"> 54, 55,</w:t>
      </w:r>
      <w:r w:rsidR="008604E4">
        <w:rPr>
          <w:lang w:val="en-GB"/>
        </w:rPr>
        <w:t xml:space="preserve"> 85). </w:t>
      </w:r>
    </w:p>
    <w:p w14:paraId="62C31FC7" w14:textId="49EAF00D" w:rsidR="008604E4" w:rsidRDefault="008604E4" w:rsidP="009A0C29">
      <w:pPr>
        <w:spacing w:before="100" w:beforeAutospacing="1" w:after="100" w:afterAutospacing="1" w:line="240" w:lineRule="auto"/>
        <w:jc w:val="both"/>
        <w:rPr>
          <w:lang w:val="en-GB"/>
        </w:rPr>
      </w:pPr>
      <w:r>
        <w:rPr>
          <w:lang w:val="en-GB"/>
        </w:rPr>
        <w:t xml:space="preserve">In its 2019 concluding observations, the </w:t>
      </w:r>
      <w:r w:rsidR="0037540E">
        <w:rPr>
          <w:lang w:val="en-GB"/>
        </w:rPr>
        <w:t xml:space="preserve">UN </w:t>
      </w:r>
      <w:r>
        <w:rPr>
          <w:lang w:val="en-GB"/>
        </w:rPr>
        <w:t xml:space="preserve">Committee on the Rights of Persons with Disabilities expressed concern about the widespread lack of </w:t>
      </w:r>
      <w:r w:rsidRPr="00625C32">
        <w:rPr>
          <w:lang w:val="en-GB"/>
        </w:rPr>
        <w:t>accessibility of buildings in which law enforcement agencies and judicial bodies are locate</w:t>
      </w:r>
      <w:r>
        <w:rPr>
          <w:lang w:val="en-GB"/>
        </w:rPr>
        <w:t xml:space="preserve">d. It lamented the lack of procedural gender- and age-appropriate accommodation in judicial </w:t>
      </w:r>
      <w:r w:rsidR="008573FC">
        <w:rPr>
          <w:lang w:val="en-GB"/>
        </w:rPr>
        <w:t>proceedings that</w:t>
      </w:r>
      <w:r>
        <w:rPr>
          <w:lang w:val="en-GB"/>
        </w:rPr>
        <w:t xml:space="preserve"> considers the diversity among persons with </w:t>
      </w:r>
      <w:r>
        <w:rPr>
          <w:lang w:val="en-GB"/>
        </w:rPr>
        <w:lastRenderedPageBreak/>
        <w:t>disabilities. The Committee expressed concern over the barriers that prevent persons</w:t>
      </w:r>
      <w:r w:rsidR="00F6238C">
        <w:rPr>
          <w:lang w:val="en-GB"/>
        </w:rPr>
        <w:t xml:space="preserve"> under</w:t>
      </w:r>
      <w:r>
        <w:rPr>
          <w:lang w:val="en-GB"/>
        </w:rPr>
        <w:t xml:space="preserve"> </w:t>
      </w:r>
      <w:r w:rsidRPr="00625C32">
        <w:rPr>
          <w:lang w:val="en-GB"/>
        </w:rPr>
        <w:t>substituted decision-making regimes from participating in legal proceedings on an equal basis with other</w:t>
      </w:r>
      <w:r w:rsidR="00F6238C">
        <w:rPr>
          <w:lang w:val="en-GB"/>
        </w:rPr>
        <w:t>s</w:t>
      </w:r>
      <w:r>
        <w:rPr>
          <w:lang w:val="en-GB"/>
        </w:rPr>
        <w:t>. The Committee recommended to enact legislation to remove all barriers for persons with disabilities in their access to justice and to enable their participation in all legal proc</w:t>
      </w:r>
      <w:r w:rsidR="008573FC">
        <w:rPr>
          <w:lang w:val="en-GB"/>
        </w:rPr>
        <w:t>eedings on an equal basis (</w:t>
      </w:r>
      <w:hyperlink r:id="rId9" w:history="1">
        <w:r w:rsidRPr="00D975EE">
          <w:rPr>
            <w:rStyle w:val="Hyperlink"/>
            <w:lang w:val="en-GB"/>
          </w:rPr>
          <w:t>CRPD/C/ESP/CO/2-3</w:t>
        </w:r>
      </w:hyperlink>
      <w:r>
        <w:rPr>
          <w:lang w:val="en-GB"/>
        </w:rPr>
        <w:t xml:space="preserve">, para 24, 25). </w:t>
      </w:r>
    </w:p>
    <w:p w14:paraId="2C164E4F" w14:textId="19091DCD" w:rsidR="008604E4" w:rsidRPr="00DC389E" w:rsidRDefault="008604E4" w:rsidP="009A0C29">
      <w:pPr>
        <w:spacing w:before="100" w:beforeAutospacing="1" w:after="100" w:afterAutospacing="1" w:line="240" w:lineRule="auto"/>
        <w:jc w:val="both"/>
        <w:rPr>
          <w:lang w:val="en-GB"/>
        </w:rPr>
      </w:pPr>
      <w:r>
        <w:rPr>
          <w:lang w:val="en-GB"/>
        </w:rPr>
        <w:t xml:space="preserve">In the context of the sale, trafficking and abduction of children, the UN </w:t>
      </w:r>
      <w:r w:rsidRPr="00BA5012">
        <w:rPr>
          <w:lang w:val="en-GB"/>
        </w:rPr>
        <w:t>Committee on the Rights of the Child</w:t>
      </w:r>
      <w:r>
        <w:rPr>
          <w:lang w:val="en-GB"/>
        </w:rPr>
        <w:t xml:space="preserve"> recommended Spain i</w:t>
      </w:r>
      <w:r w:rsidRPr="00BA5012">
        <w:rPr>
          <w:lang w:val="en-GB"/>
        </w:rPr>
        <w:t>n its 2018 concluding observations</w:t>
      </w:r>
      <w:r>
        <w:rPr>
          <w:lang w:val="en-GB"/>
        </w:rPr>
        <w:t xml:space="preserve"> to promote </w:t>
      </w:r>
      <w:r w:rsidRPr="00DC389E">
        <w:rPr>
          <w:lang w:val="en-GB"/>
        </w:rPr>
        <w:t>measures for increased collaboration among autonomous communities and resources to provide ch</w:t>
      </w:r>
      <w:r w:rsidR="008573FC">
        <w:rPr>
          <w:lang w:val="en-GB"/>
        </w:rPr>
        <w:t>ild victims with free legal aid (</w:t>
      </w:r>
      <w:hyperlink r:id="rId10" w:history="1">
        <w:r w:rsidRPr="00BA5012">
          <w:rPr>
            <w:rStyle w:val="Hyperlink"/>
            <w:lang w:val="en-GB"/>
          </w:rPr>
          <w:t>CRC/C/ESP/CO/5-6</w:t>
        </w:r>
      </w:hyperlink>
      <w:r w:rsidRPr="00BA5012">
        <w:rPr>
          <w:lang w:val="en-GB"/>
        </w:rPr>
        <w:t xml:space="preserve">, para </w:t>
      </w:r>
      <w:r>
        <w:rPr>
          <w:lang w:val="en-GB"/>
        </w:rPr>
        <w:t>4</w:t>
      </w:r>
      <w:r w:rsidRPr="00BA5012">
        <w:rPr>
          <w:lang w:val="en-GB"/>
        </w:rPr>
        <w:t xml:space="preserve">6). </w:t>
      </w:r>
    </w:p>
    <w:p w14:paraId="5901B04E" w14:textId="23DC6D57" w:rsidR="001B7CA2" w:rsidRPr="00DE39B5" w:rsidRDefault="001B7CA2" w:rsidP="009A0C29">
      <w:pPr>
        <w:spacing w:line="240" w:lineRule="auto"/>
        <w:jc w:val="both"/>
        <w:rPr>
          <w:lang w:val="en-GB"/>
        </w:rPr>
      </w:pPr>
      <w:r w:rsidRPr="00DE39B5">
        <w:rPr>
          <w:i/>
          <w:iCs/>
          <w:lang w:val="en-GB"/>
        </w:rPr>
        <w:t xml:space="preserve">12. Resources of the judiciary (human/financial/material) </w:t>
      </w:r>
    </w:p>
    <w:p w14:paraId="30D576F4" w14:textId="5CD8A318" w:rsidR="001B7CA2" w:rsidRDefault="001B7CA2" w:rsidP="009A0C29">
      <w:pPr>
        <w:spacing w:line="240" w:lineRule="auto"/>
        <w:jc w:val="both"/>
        <w:rPr>
          <w:i/>
          <w:iCs/>
          <w:lang w:val="en-GB"/>
        </w:rPr>
      </w:pPr>
      <w:r w:rsidRPr="00DE39B5">
        <w:rPr>
          <w:i/>
          <w:iCs/>
          <w:lang w:val="en-GB"/>
        </w:rPr>
        <w:t xml:space="preserve">13. Training of justice professionals (including judges, prosecutors, lawyers, court staff) </w:t>
      </w:r>
    </w:p>
    <w:p w14:paraId="3184480A" w14:textId="06879DFD" w:rsidR="009A0C29" w:rsidRDefault="00FB0E87" w:rsidP="009A0C29">
      <w:pPr>
        <w:spacing w:before="100" w:beforeAutospacing="1" w:after="100" w:afterAutospacing="1" w:line="240" w:lineRule="auto"/>
        <w:jc w:val="both"/>
        <w:rPr>
          <w:lang w:val="en-GB"/>
        </w:rPr>
      </w:pPr>
      <w:r>
        <w:rPr>
          <w:lang w:val="en-GB"/>
        </w:rPr>
        <w:t xml:space="preserve">In its 2019 concluding observations, the </w:t>
      </w:r>
      <w:r w:rsidR="0037540E">
        <w:rPr>
          <w:lang w:val="en-GB"/>
        </w:rPr>
        <w:t xml:space="preserve">UN </w:t>
      </w:r>
      <w:r>
        <w:rPr>
          <w:lang w:val="en-GB"/>
        </w:rPr>
        <w:t xml:space="preserve">Committee on the Rights of Persons with Disabilities expressed concern about the lack of training for the judiciary about </w:t>
      </w:r>
      <w:r w:rsidRPr="00D975EE">
        <w:rPr>
          <w:lang w:val="en-GB"/>
        </w:rPr>
        <w:t>the rights of persons with disabilities and the standards enshrined in the Convention</w:t>
      </w:r>
      <w:r>
        <w:rPr>
          <w:lang w:val="en-GB"/>
        </w:rPr>
        <w:t xml:space="preserve"> on the Rights of Persons with Disabilities</w:t>
      </w:r>
      <w:r w:rsidRPr="00D975EE">
        <w:rPr>
          <w:lang w:val="en-GB"/>
        </w:rPr>
        <w:t>.</w:t>
      </w:r>
      <w:r w:rsidR="008573FC">
        <w:rPr>
          <w:lang w:val="en-GB"/>
        </w:rPr>
        <w:t xml:space="preserve"> It recommended Spain</w:t>
      </w:r>
      <w:r>
        <w:rPr>
          <w:lang w:val="en-GB"/>
        </w:rPr>
        <w:t xml:space="preserve"> to continue </w:t>
      </w:r>
      <w:r w:rsidRPr="00D975EE">
        <w:rPr>
          <w:lang w:val="en-GB"/>
        </w:rPr>
        <w:t>to provide professionals, including judges and law enforcement officials with training to rais</w:t>
      </w:r>
      <w:r w:rsidR="008573FC">
        <w:rPr>
          <w:lang w:val="en-GB"/>
        </w:rPr>
        <w:t>e their awareness of the rights (</w:t>
      </w:r>
      <w:hyperlink r:id="rId11" w:history="1">
        <w:r w:rsidRPr="00D975EE">
          <w:rPr>
            <w:rStyle w:val="Hyperlink"/>
            <w:lang w:val="en-GB"/>
          </w:rPr>
          <w:t>CRPD/C/ESP/CO/2-3</w:t>
        </w:r>
      </w:hyperlink>
      <w:r>
        <w:rPr>
          <w:lang w:val="en-GB"/>
        </w:rPr>
        <w:t xml:space="preserve">, para 6, 7, 24, 25). </w:t>
      </w:r>
    </w:p>
    <w:p w14:paraId="64D16552" w14:textId="106CB23B" w:rsidR="00FB0E87" w:rsidRPr="00D975EE" w:rsidRDefault="008573FC" w:rsidP="009A0C29">
      <w:pPr>
        <w:spacing w:before="100" w:beforeAutospacing="1" w:after="100" w:afterAutospacing="1" w:line="240" w:lineRule="auto"/>
        <w:jc w:val="both"/>
        <w:rPr>
          <w:lang w:val="en-GB"/>
        </w:rPr>
      </w:pPr>
      <w:r>
        <w:rPr>
          <w:lang w:val="en-GB"/>
        </w:rPr>
        <w:t>T</w:t>
      </w:r>
      <w:r w:rsidR="00FB0E87">
        <w:rPr>
          <w:lang w:val="en-GB"/>
        </w:rPr>
        <w:t xml:space="preserve">he UN Committee on Economic, Social and Cultural Rights recommended Spain in its </w:t>
      </w:r>
      <w:r w:rsidR="00AE0E07">
        <w:rPr>
          <w:lang w:val="en-GB"/>
        </w:rPr>
        <w:t>2018</w:t>
      </w:r>
      <w:r w:rsidR="00FB0E87">
        <w:rPr>
          <w:lang w:val="en-GB"/>
        </w:rPr>
        <w:t xml:space="preserve"> concluding observations to provide training to, amongst others, </w:t>
      </w:r>
      <w:r w:rsidR="00FB0E87" w:rsidRPr="006851EB">
        <w:rPr>
          <w:lang w:val="en-GB"/>
        </w:rPr>
        <w:t>judges, lawyers,</w:t>
      </w:r>
      <w:r w:rsidR="00FB0E87">
        <w:rPr>
          <w:lang w:val="en-GB"/>
        </w:rPr>
        <w:t xml:space="preserve"> and</w:t>
      </w:r>
      <w:r w:rsidR="00FB0E87" w:rsidRPr="006851EB">
        <w:rPr>
          <w:lang w:val="en-GB"/>
        </w:rPr>
        <w:t xml:space="preserve"> law enforcement officials</w:t>
      </w:r>
      <w:r w:rsidR="00FB0E87">
        <w:rPr>
          <w:lang w:val="en-GB"/>
        </w:rPr>
        <w:t xml:space="preserve"> </w:t>
      </w:r>
      <w:r w:rsidR="00FB0E87" w:rsidRPr="006851EB">
        <w:rPr>
          <w:lang w:val="en-GB"/>
        </w:rPr>
        <w:t>on the content of the rights recognized in the Covenant</w:t>
      </w:r>
      <w:r>
        <w:rPr>
          <w:lang w:val="en-GB"/>
        </w:rPr>
        <w:t xml:space="preserve"> on </w:t>
      </w:r>
      <w:r w:rsidRPr="00EE67F0">
        <w:rPr>
          <w:bCs/>
          <w:lang w:val="en-US"/>
        </w:rPr>
        <w:t>Economic</w:t>
      </w:r>
      <w:r w:rsidRPr="00EE67F0">
        <w:rPr>
          <w:lang w:val="en-US"/>
        </w:rPr>
        <w:t>, Social and Cultural Rights</w:t>
      </w:r>
      <w:r w:rsidR="00FB0E87" w:rsidRPr="006851EB">
        <w:rPr>
          <w:lang w:val="en-GB"/>
        </w:rPr>
        <w:t>, and on the possibility of invoking the Covenant in court</w:t>
      </w:r>
      <w:r w:rsidR="00FB0E87">
        <w:rPr>
          <w:lang w:val="en-GB"/>
        </w:rPr>
        <w:t>. (</w:t>
      </w:r>
      <w:hyperlink r:id="rId12" w:history="1">
        <w:r w:rsidR="00FB0E87" w:rsidRPr="00262394">
          <w:rPr>
            <w:rStyle w:val="Hyperlink"/>
            <w:lang w:val="en-GB"/>
          </w:rPr>
          <w:t>See E/C.12/ESP/CO/6</w:t>
        </w:r>
      </w:hyperlink>
      <w:r w:rsidR="00FB0E87">
        <w:rPr>
          <w:lang w:val="en-GB"/>
        </w:rPr>
        <w:t xml:space="preserve">, para 5, 6). </w:t>
      </w:r>
    </w:p>
    <w:p w14:paraId="08414796" w14:textId="77777777" w:rsidR="001B7CA2" w:rsidRPr="00DE39B5" w:rsidRDefault="001B7CA2" w:rsidP="009A0C29">
      <w:pPr>
        <w:spacing w:line="240" w:lineRule="auto"/>
        <w:jc w:val="both"/>
        <w:rPr>
          <w:lang w:val="en-GB"/>
        </w:rPr>
      </w:pPr>
      <w:r w:rsidRPr="00DE39B5">
        <w:rPr>
          <w:i/>
          <w:iCs/>
          <w:lang w:val="en-GB"/>
        </w:rPr>
        <w:t xml:space="preserve">14. Digitalisation (e.g. use of digital technology, particularly electronic communication tools, within the justice system and with court users, including resilience of justice systems in COVID-19 pandemic) </w:t>
      </w:r>
    </w:p>
    <w:p w14:paraId="4B63E9E8" w14:textId="77777777" w:rsidR="001B7CA2" w:rsidRPr="00DE39B5" w:rsidRDefault="001B7CA2" w:rsidP="009A0C29">
      <w:pPr>
        <w:spacing w:line="240" w:lineRule="auto"/>
        <w:jc w:val="both"/>
        <w:rPr>
          <w:lang w:val="en-GB"/>
        </w:rPr>
      </w:pPr>
      <w:r w:rsidRPr="00DE39B5">
        <w:rPr>
          <w:i/>
          <w:iCs/>
          <w:lang w:val="en-GB"/>
        </w:rPr>
        <w:t xml:space="preserve">15. Use of assessment tools and standards (e.g. ICT systems for case management, court statistics and their transparency, monitoring, evaluation, surveys among court users or legal professionals) </w:t>
      </w:r>
    </w:p>
    <w:p w14:paraId="53114DC2" w14:textId="6EA7E251" w:rsidR="001B7CA2" w:rsidRDefault="001B7CA2" w:rsidP="009A0C29">
      <w:pPr>
        <w:spacing w:line="240" w:lineRule="auto"/>
        <w:jc w:val="both"/>
        <w:rPr>
          <w:i/>
          <w:iCs/>
          <w:lang w:val="en-GB"/>
        </w:rPr>
      </w:pPr>
      <w:r w:rsidRPr="00DE39B5">
        <w:rPr>
          <w:i/>
          <w:iCs/>
          <w:lang w:val="en-GB"/>
        </w:rPr>
        <w:t xml:space="preserve">16. Geographical distribution and number of courts/jurisdictions (“judicial map”) and their specialisation </w:t>
      </w:r>
    </w:p>
    <w:p w14:paraId="39A2208E" w14:textId="4B9D2E24" w:rsidR="00DA61A6" w:rsidRPr="00DE39B5" w:rsidRDefault="00DA61A6" w:rsidP="009A0C29">
      <w:pPr>
        <w:spacing w:line="240" w:lineRule="auto"/>
        <w:jc w:val="both"/>
        <w:rPr>
          <w:lang w:val="en-GB"/>
        </w:rPr>
      </w:pPr>
      <w:r w:rsidRPr="00BA5012">
        <w:rPr>
          <w:lang w:val="en-GB"/>
        </w:rPr>
        <w:t xml:space="preserve">In its 2018 concluding observations, the UN Committee on the Rights of the Child </w:t>
      </w:r>
      <w:r>
        <w:rPr>
          <w:lang w:val="en-GB"/>
        </w:rPr>
        <w:t xml:space="preserve">recommended Spain to increase the number of specialized judges for children and </w:t>
      </w:r>
      <w:r w:rsidRPr="00DF43FD">
        <w:rPr>
          <w:lang w:val="en-GB"/>
        </w:rPr>
        <w:t>ensure the availability of specialized juvenile court facilities and child-friendly procedures and, in this regard, review the 2017 agreement by the General Council of the Judiciary to transfer specialized children</w:t>
      </w:r>
      <w:r>
        <w:rPr>
          <w:lang w:val="en-GB"/>
        </w:rPr>
        <w:t>’</w:t>
      </w:r>
      <w:r w:rsidR="00BE5B2E">
        <w:rPr>
          <w:lang w:val="en-GB"/>
        </w:rPr>
        <w:t xml:space="preserve">s judges to general courts </w:t>
      </w:r>
      <w:r>
        <w:rPr>
          <w:lang w:val="en-GB"/>
        </w:rPr>
        <w:t>(</w:t>
      </w:r>
      <w:hyperlink r:id="rId13" w:history="1">
        <w:r w:rsidRPr="00BA5012">
          <w:rPr>
            <w:rStyle w:val="Hyperlink"/>
            <w:lang w:val="en-GB"/>
          </w:rPr>
          <w:t>CRC/C/ESP/CO/5-6</w:t>
        </w:r>
      </w:hyperlink>
      <w:r w:rsidRPr="00BA5012">
        <w:rPr>
          <w:lang w:val="en-GB"/>
        </w:rPr>
        <w:t xml:space="preserve">, para </w:t>
      </w:r>
      <w:r w:rsidR="00411B06">
        <w:rPr>
          <w:lang w:val="en-GB"/>
        </w:rPr>
        <w:t>47). In 2020</w:t>
      </w:r>
      <w:r>
        <w:rPr>
          <w:lang w:val="en-GB"/>
        </w:rPr>
        <w:t>, Spain supported several recommendations from the Universal Periodic Review w</w:t>
      </w:r>
      <w:r w:rsidR="00BE5B2E">
        <w:rPr>
          <w:lang w:val="en-GB"/>
        </w:rPr>
        <w:t>ith regard to this matter (</w:t>
      </w:r>
      <w:hyperlink r:id="rId14" w:history="1">
        <w:r w:rsidR="00103620" w:rsidRPr="00103620">
          <w:rPr>
            <w:rStyle w:val="Hyperlink"/>
            <w:lang w:val="en-GB"/>
          </w:rPr>
          <w:t>A/HRC/44/7</w:t>
        </w:r>
      </w:hyperlink>
      <w:r w:rsidR="008D7962">
        <w:rPr>
          <w:lang w:val="en-GB"/>
        </w:rPr>
        <w:t xml:space="preserve"> and </w:t>
      </w:r>
      <w:hyperlink r:id="rId15" w:history="1">
        <w:r w:rsidR="00C31B1C" w:rsidRPr="00C31B1C">
          <w:rPr>
            <w:rStyle w:val="Hyperlink"/>
            <w:lang w:val="en-GB"/>
          </w:rPr>
          <w:t>A/HRC/44/7</w:t>
        </w:r>
      </w:hyperlink>
      <w:r w:rsidR="00BE5B2E">
        <w:rPr>
          <w:lang w:val="en-GB"/>
        </w:rPr>
        <w:t>,</w:t>
      </w:r>
      <w:r w:rsidR="00C31B1C">
        <w:rPr>
          <w:lang w:val="en-GB"/>
        </w:rPr>
        <w:t xml:space="preserve"> para</w:t>
      </w:r>
      <w:r w:rsidR="00BE5B2E">
        <w:rPr>
          <w:lang w:val="en-GB"/>
        </w:rPr>
        <w:t xml:space="preserve"> 150.70 -</w:t>
      </w:r>
      <w:r w:rsidR="00C31B1C">
        <w:rPr>
          <w:lang w:val="en-GB"/>
        </w:rPr>
        <w:t xml:space="preserve"> 150.173</w:t>
      </w:r>
      <w:r w:rsidR="00BE5B2E">
        <w:rPr>
          <w:lang w:val="en-GB"/>
        </w:rPr>
        <w:t>)</w:t>
      </w:r>
      <w:r w:rsidR="008D7962">
        <w:rPr>
          <w:lang w:val="en-GB"/>
        </w:rPr>
        <w:t>.</w:t>
      </w:r>
    </w:p>
    <w:p w14:paraId="5CD1D694" w14:textId="77777777" w:rsidR="001B7CA2" w:rsidRPr="00DE39B5" w:rsidRDefault="001B7CA2" w:rsidP="009A0C29">
      <w:pPr>
        <w:spacing w:line="240" w:lineRule="auto"/>
        <w:jc w:val="both"/>
        <w:rPr>
          <w:lang w:val="en-GB"/>
        </w:rPr>
      </w:pPr>
      <w:r w:rsidRPr="00DE39B5">
        <w:rPr>
          <w:b/>
          <w:bCs/>
          <w:i/>
          <w:iCs/>
          <w:lang w:val="en-GB"/>
        </w:rPr>
        <w:t xml:space="preserve">C. Efficiency of the justice system </w:t>
      </w:r>
    </w:p>
    <w:p w14:paraId="5AD85AEC" w14:textId="0955CE5B" w:rsidR="001D6CED" w:rsidRPr="001D6CED" w:rsidRDefault="001B7CA2" w:rsidP="009A0C29">
      <w:pPr>
        <w:spacing w:line="240" w:lineRule="auto"/>
        <w:jc w:val="both"/>
        <w:rPr>
          <w:lang w:val="en-GB"/>
        </w:rPr>
      </w:pPr>
      <w:r w:rsidRPr="00DE39B5">
        <w:rPr>
          <w:i/>
          <w:iCs/>
          <w:lang w:val="en-GB"/>
        </w:rPr>
        <w:t xml:space="preserve">17. Length of proceedings </w:t>
      </w:r>
    </w:p>
    <w:p w14:paraId="60B62A00" w14:textId="77777777" w:rsidR="001B7CA2" w:rsidRPr="00DE39B5" w:rsidRDefault="001B7CA2" w:rsidP="009A0C29">
      <w:pPr>
        <w:spacing w:line="240" w:lineRule="auto"/>
        <w:jc w:val="both"/>
        <w:rPr>
          <w:b/>
          <w:bCs/>
          <w:i/>
          <w:iCs/>
          <w:lang w:val="en-GB"/>
        </w:rPr>
      </w:pPr>
      <w:r w:rsidRPr="00DE39B5">
        <w:rPr>
          <w:b/>
          <w:bCs/>
          <w:i/>
          <w:iCs/>
          <w:lang w:val="en-GB"/>
        </w:rPr>
        <w:t xml:space="preserve">Other – please specify </w:t>
      </w:r>
    </w:p>
    <w:p w14:paraId="7A32EAB1" w14:textId="7FA878B1" w:rsidR="001D6CED" w:rsidRDefault="001D6CED" w:rsidP="009A0C29">
      <w:pPr>
        <w:spacing w:line="240" w:lineRule="auto"/>
        <w:jc w:val="both"/>
        <w:rPr>
          <w:lang w:val="en-GB"/>
        </w:rPr>
      </w:pPr>
      <w:bookmarkStart w:id="0" w:name="_GoBack"/>
      <w:r>
        <w:rPr>
          <w:rFonts w:eastAsia="Calibri" w:cstheme="minorHAnsi"/>
          <w:i/>
          <w:iCs/>
          <w:szCs w:val="25"/>
          <w:lang w:val="en-GB"/>
        </w:rPr>
        <w:t>Best interests of the child and respect for the views of the child</w:t>
      </w:r>
      <w:r w:rsidR="00411B06">
        <w:rPr>
          <w:rFonts w:eastAsia="Calibri" w:cstheme="minorHAnsi"/>
          <w:i/>
          <w:iCs/>
          <w:szCs w:val="25"/>
          <w:lang w:val="en-GB"/>
        </w:rPr>
        <w:t xml:space="preserve"> - </w:t>
      </w:r>
      <w:r w:rsidRPr="00BA5012">
        <w:rPr>
          <w:lang w:val="en-GB"/>
        </w:rPr>
        <w:t>In its 2018 concluding observations, the UN Committee on the Rights of the Child</w:t>
      </w:r>
      <w:r>
        <w:rPr>
          <w:lang w:val="en-GB"/>
        </w:rPr>
        <w:t xml:space="preserve"> expressed concern</w:t>
      </w:r>
      <w:r w:rsidRPr="00BA5012">
        <w:rPr>
          <w:lang w:val="en-GB"/>
        </w:rPr>
        <w:t xml:space="preserve"> </w:t>
      </w:r>
      <w:r>
        <w:rPr>
          <w:lang w:val="en-GB"/>
        </w:rPr>
        <w:t xml:space="preserve">over the uneven implementation of the child’s right to have his or her best interests taken as a primary consideration in the autonomous communities. The Committee recommended Spain to ensure that this right is consistently interpreted and applied in all </w:t>
      </w:r>
      <w:r w:rsidRPr="00BA5012">
        <w:rPr>
          <w:lang w:val="en-GB"/>
        </w:rPr>
        <w:t>legislative, administrative and judicial proceedings and decisions</w:t>
      </w:r>
      <w:r>
        <w:rPr>
          <w:lang w:val="en-GB"/>
        </w:rPr>
        <w:t>.</w:t>
      </w:r>
      <w:r w:rsidRPr="00BA5012">
        <w:rPr>
          <w:lang w:val="en-GB"/>
        </w:rPr>
        <w:t xml:space="preserve"> </w:t>
      </w:r>
      <w:r>
        <w:rPr>
          <w:lang w:val="en-GB"/>
        </w:rPr>
        <w:t xml:space="preserve">The Committee further recommended Spain to increase its efforts to promote due respect </w:t>
      </w:r>
      <w:r w:rsidRPr="004123A4">
        <w:rPr>
          <w:lang w:val="en-GB"/>
        </w:rPr>
        <w:t>for children</w:t>
      </w:r>
      <w:r>
        <w:rPr>
          <w:lang w:val="en-GB"/>
        </w:rPr>
        <w:t>’s</w:t>
      </w:r>
      <w:r w:rsidRPr="004123A4">
        <w:rPr>
          <w:lang w:val="en-GB"/>
        </w:rPr>
        <w:t xml:space="preserve"> views, at any age, </w:t>
      </w:r>
      <w:r>
        <w:rPr>
          <w:lang w:val="en-GB"/>
        </w:rPr>
        <w:t>in</w:t>
      </w:r>
      <w:r w:rsidRPr="004123A4">
        <w:rPr>
          <w:lang w:val="en-GB"/>
        </w:rPr>
        <w:t xml:space="preserve"> all relevant judicial and administrative proceedings</w:t>
      </w:r>
      <w:r>
        <w:rPr>
          <w:lang w:val="en-GB"/>
        </w:rPr>
        <w:t>. It recommended Spain to h</w:t>
      </w:r>
      <w:r w:rsidRPr="004123A4">
        <w:rPr>
          <w:lang w:val="en-GB"/>
        </w:rPr>
        <w:t>armonize the relevant laws, particularly the Civil Code and the Code of Civil Procedure, with the Convention</w:t>
      </w:r>
      <w:r w:rsidR="00411B06">
        <w:rPr>
          <w:lang w:val="en-GB"/>
        </w:rPr>
        <w:t xml:space="preserve"> (</w:t>
      </w:r>
      <w:hyperlink r:id="rId16" w:history="1">
        <w:r w:rsidRPr="00BA5012">
          <w:rPr>
            <w:rStyle w:val="Hyperlink"/>
            <w:lang w:val="en-GB"/>
          </w:rPr>
          <w:t>CRC/C/ESP/CO/5-6</w:t>
        </w:r>
      </w:hyperlink>
      <w:r w:rsidRPr="00BA5012">
        <w:rPr>
          <w:lang w:val="en-GB"/>
        </w:rPr>
        <w:t>, para</w:t>
      </w:r>
      <w:r w:rsidR="00C31B1C">
        <w:rPr>
          <w:lang w:val="en-GB"/>
        </w:rPr>
        <w:t xml:space="preserve"> 16, </w:t>
      </w:r>
      <w:r w:rsidRPr="00BA5012">
        <w:rPr>
          <w:lang w:val="en-GB"/>
        </w:rPr>
        <w:t>1</w:t>
      </w:r>
      <w:r>
        <w:rPr>
          <w:lang w:val="en-GB"/>
        </w:rPr>
        <w:t>7).</w:t>
      </w:r>
    </w:p>
    <w:p w14:paraId="0E6D332B" w14:textId="26713EFF" w:rsidR="008D7962" w:rsidRPr="008D7962" w:rsidRDefault="00CC20D9" w:rsidP="008D7962">
      <w:pPr>
        <w:spacing w:line="240" w:lineRule="auto"/>
        <w:jc w:val="both"/>
        <w:rPr>
          <w:lang w:val="en-GB"/>
        </w:rPr>
      </w:pPr>
      <w:r w:rsidRPr="00CC20D9">
        <w:rPr>
          <w:i/>
          <w:lang w:val="en-GB"/>
        </w:rPr>
        <w:t>Racial Profi</w:t>
      </w:r>
      <w:r>
        <w:rPr>
          <w:i/>
          <w:lang w:val="en-GB"/>
        </w:rPr>
        <w:t>ling in the context of</w:t>
      </w:r>
      <w:r w:rsidRPr="00CC20D9">
        <w:rPr>
          <w:i/>
          <w:lang w:val="en-GB"/>
        </w:rPr>
        <w:t xml:space="preserve"> law enforcement and judiciary</w:t>
      </w:r>
      <w:r>
        <w:rPr>
          <w:lang w:val="en-GB"/>
        </w:rPr>
        <w:t xml:space="preserve"> - </w:t>
      </w:r>
      <w:r w:rsidR="008D7962" w:rsidRPr="008D7962">
        <w:rPr>
          <w:lang w:val="en-GB"/>
        </w:rPr>
        <w:t xml:space="preserve">In the report of his official visit to Spain in 2019, released in March 2020, the UN Special Rapporteur on minority issues reported that provisions in the Law on the Security of Citizens, which impose large fines for filming law enforcement agents and reverse the burden of proof, had been raised as a significant factor contributing to distrust  of the  police  and the  judiciary among some minorities: they felt  that  they  were  unable  to  present  their  allegations,  since  filming  such incidents  is  illegal,  and  that  they  had  to  assume  the  burden  of  proof  for  any  allegation  of police  misbehaviour. </w:t>
      </w:r>
      <w:r w:rsidR="008D7962" w:rsidRPr="008D7962">
        <w:rPr>
          <w:lang w:val="en-US"/>
        </w:rPr>
        <w:t xml:space="preserve">While the UN Special Rapporteur </w:t>
      </w:r>
      <w:r w:rsidR="008D7962" w:rsidRPr="008D7962">
        <w:rPr>
          <w:lang w:val="en-GB"/>
        </w:rPr>
        <w:t xml:space="preserve">on minority issues </w:t>
      </w:r>
      <w:r w:rsidR="008D7962" w:rsidRPr="008D7962">
        <w:rPr>
          <w:lang w:val="en-US"/>
        </w:rPr>
        <w:t>was advised that the State Secretariat for Security had issued, in October 2018, strict instructions that filming or taking a photo of law enforcement officials was not an infraction as such and that all law enforcement officers should issue a proper receipt for all physical searches to the persons searched, the Special Rapporteur noted that the legislation still in force could be seen to contradict the proposed strict interpretation. (</w:t>
      </w:r>
      <w:hyperlink r:id="rId17" w:history="1">
        <w:r w:rsidR="008D7962" w:rsidRPr="008D7962">
          <w:rPr>
            <w:rStyle w:val="Hyperlink"/>
            <w:lang w:val="en-US"/>
          </w:rPr>
          <w:t>A/HRC/43/47/Add.1</w:t>
        </w:r>
      </w:hyperlink>
      <w:r w:rsidR="008D7962" w:rsidRPr="008D7962">
        <w:rPr>
          <w:lang w:val="en-US"/>
        </w:rPr>
        <w:t>, para 34).</w:t>
      </w:r>
      <w:r w:rsidR="00765F15">
        <w:rPr>
          <w:lang w:val="en-US"/>
        </w:rPr>
        <w:t xml:space="preserve"> </w:t>
      </w:r>
      <w:r w:rsidR="008D7962" w:rsidRPr="008D7962">
        <w:rPr>
          <w:lang w:val="en-US"/>
        </w:rPr>
        <w:t xml:space="preserve">Similar concerns were raised by </w:t>
      </w:r>
      <w:r w:rsidR="008D7962" w:rsidRPr="008D7962">
        <w:rPr>
          <w:lang w:val="en-GB"/>
        </w:rPr>
        <w:t xml:space="preserve">the UN Working </w:t>
      </w:r>
      <w:r w:rsidR="008D7962" w:rsidRPr="008D7962">
        <w:rPr>
          <w:lang w:val="en-US"/>
        </w:rPr>
        <w:t>Group on People of African Descent in the re</w:t>
      </w:r>
      <w:r w:rsidR="00765F15">
        <w:rPr>
          <w:lang w:val="en-US"/>
        </w:rPr>
        <w:t xml:space="preserve">port on its 2018 country visit </w:t>
      </w:r>
      <w:r w:rsidR="008D7962" w:rsidRPr="008D7962">
        <w:rPr>
          <w:lang w:val="en-US"/>
        </w:rPr>
        <w:t>(</w:t>
      </w:r>
      <w:hyperlink r:id="rId18" w:history="1">
        <w:r w:rsidR="008D7962" w:rsidRPr="008D7962">
          <w:rPr>
            <w:rStyle w:val="Hyperlink"/>
            <w:lang w:val="en-US"/>
          </w:rPr>
          <w:t>A/HRC/39/69/Add.2</w:t>
        </w:r>
      </w:hyperlink>
      <w:r w:rsidR="008D7962" w:rsidRPr="008D7962">
        <w:rPr>
          <w:lang w:val="en-GB"/>
        </w:rPr>
        <w:t>, para 49).</w:t>
      </w:r>
    </w:p>
    <w:p w14:paraId="7D2B0B65" w14:textId="5AC73D95" w:rsidR="008D7962" w:rsidRPr="0042790B" w:rsidRDefault="00765F15" w:rsidP="0042790B">
      <w:pPr>
        <w:spacing w:line="240" w:lineRule="auto"/>
        <w:jc w:val="both"/>
        <w:rPr>
          <w:rFonts w:eastAsia="Calibri" w:cstheme="minorHAnsi"/>
          <w:iCs/>
          <w:szCs w:val="25"/>
          <w:lang w:val="en-US"/>
        </w:rPr>
      </w:pPr>
      <w:r>
        <w:rPr>
          <w:rFonts w:eastAsia="Calibri" w:cstheme="minorHAnsi"/>
          <w:i/>
          <w:iCs/>
          <w:szCs w:val="25"/>
          <w:lang w:val="en-GB"/>
        </w:rPr>
        <w:t xml:space="preserve">Incommunicado detention </w:t>
      </w:r>
      <w:r>
        <w:rPr>
          <w:rFonts w:eastAsia="Calibri" w:cstheme="minorHAnsi"/>
          <w:iCs/>
          <w:szCs w:val="25"/>
          <w:lang w:val="en-GB"/>
        </w:rPr>
        <w:t xml:space="preserve">- </w:t>
      </w:r>
      <w:r w:rsidR="0042790B">
        <w:rPr>
          <w:rFonts w:eastAsia="Calibri" w:cstheme="minorHAnsi"/>
          <w:iCs/>
          <w:szCs w:val="25"/>
          <w:lang w:val="en-GB"/>
        </w:rPr>
        <w:t xml:space="preserve">In a 2019 decision on an individual complaint case, the UN Committee Against Torture found that </w:t>
      </w:r>
      <w:r w:rsidR="0042790B" w:rsidRPr="0042790B">
        <w:rPr>
          <w:rStyle w:val="lblnewsfulltext"/>
          <w:lang w:val="en-US"/>
        </w:rPr>
        <w:t>Spain violated the human rights of an individual who suffered torture and incommunicado detention</w:t>
      </w:r>
      <w:r w:rsidR="0042790B">
        <w:rPr>
          <w:rStyle w:val="lblnewsfulltext"/>
          <w:lang w:val="en-US"/>
        </w:rPr>
        <w:t>. T</w:t>
      </w:r>
      <w:r w:rsidR="0042790B" w:rsidRPr="0042790B">
        <w:rPr>
          <w:rStyle w:val="lblnewsfulltext"/>
          <w:lang w:val="en-US"/>
        </w:rPr>
        <w:t xml:space="preserve">he Committee </w:t>
      </w:r>
      <w:r w:rsidR="0042790B">
        <w:rPr>
          <w:rStyle w:val="lblnewsfulltext"/>
          <w:lang w:val="en-US"/>
        </w:rPr>
        <w:t>urged</w:t>
      </w:r>
      <w:r w:rsidR="0042790B" w:rsidRPr="0042790B">
        <w:rPr>
          <w:rStyle w:val="lblnewsfulltext"/>
          <w:lang w:val="en-US"/>
        </w:rPr>
        <w:t xml:space="preserve"> Spain </w:t>
      </w:r>
      <w:r w:rsidR="0042790B">
        <w:rPr>
          <w:rStyle w:val="lblnewsfulltext"/>
          <w:lang w:val="en-US"/>
        </w:rPr>
        <w:t xml:space="preserve">to ensure the </w:t>
      </w:r>
      <w:r w:rsidR="0042790B" w:rsidRPr="0042790B">
        <w:rPr>
          <w:rStyle w:val="lblnewsfulltext"/>
          <w:lang w:val="en-US"/>
        </w:rPr>
        <w:t xml:space="preserve">complainant received justice and reparation </w:t>
      </w:r>
      <w:r w:rsidR="0042790B">
        <w:rPr>
          <w:rStyle w:val="lblnewsfulltext"/>
          <w:lang w:val="en-US"/>
        </w:rPr>
        <w:t xml:space="preserve">and that all </w:t>
      </w:r>
      <w:r w:rsidR="0042790B" w:rsidRPr="0042790B">
        <w:rPr>
          <w:rStyle w:val="lblnewsfulltext"/>
          <w:lang w:val="en-US"/>
        </w:rPr>
        <w:t xml:space="preserve">allegations of torture be investigated promptly, thoroughly and impartially by the competent authorities. To prevent similar violations in the future, the Committee </w:t>
      </w:r>
      <w:r w:rsidR="0042790B">
        <w:rPr>
          <w:rStyle w:val="lblnewsfulltext"/>
          <w:lang w:val="en-US"/>
        </w:rPr>
        <w:t xml:space="preserve">also </w:t>
      </w:r>
      <w:r w:rsidR="0042790B" w:rsidRPr="0042790B">
        <w:rPr>
          <w:rStyle w:val="lblnewsfulltext"/>
          <w:lang w:val="en-US"/>
        </w:rPr>
        <w:t xml:space="preserve">urged Spain to take legislative measures aimed at ending incommunicado detention as it served to create an atmosphere more conducive to acts of torture. </w:t>
      </w:r>
      <w:r w:rsidR="0042790B">
        <w:rPr>
          <w:rStyle w:val="lblnewsfulltext"/>
          <w:lang w:val="en-US"/>
        </w:rPr>
        <w:t xml:space="preserve">(Decision </w:t>
      </w:r>
      <w:hyperlink r:id="rId19" w:history="1">
        <w:r w:rsidR="0042790B" w:rsidRPr="0042790B">
          <w:rPr>
            <w:rStyle w:val="Hyperlink"/>
            <w:lang w:val="en-US"/>
          </w:rPr>
          <w:t>CCPR/C/125/D/2657/2015</w:t>
        </w:r>
      </w:hyperlink>
      <w:r w:rsidR="0042790B" w:rsidRPr="0042790B">
        <w:rPr>
          <w:rStyle w:val="sessionsubtitle"/>
          <w:lang w:val="en-US"/>
        </w:rPr>
        <w:t xml:space="preserve">, see also </w:t>
      </w:r>
      <w:hyperlink r:id="rId20" w:history="1">
        <w:r w:rsidR="0042790B" w:rsidRPr="002739F0">
          <w:rPr>
            <w:rStyle w:val="Hyperlink"/>
            <w:lang w:val="en-US"/>
          </w:rPr>
          <w:t>https://www.ohchr.org/EN/NewsEvents/Pages/DisplayNews.aspx?NewsID=24629&amp;LangID=E</w:t>
        </w:r>
      </w:hyperlink>
      <w:r w:rsidR="0042790B">
        <w:rPr>
          <w:rStyle w:val="sessionsubtitle"/>
          <w:lang w:val="en-US"/>
        </w:rPr>
        <w:t xml:space="preserve">) </w:t>
      </w:r>
    </w:p>
    <w:bookmarkEnd w:id="0"/>
    <w:p w14:paraId="53C6A413" w14:textId="77777777" w:rsidR="00BD5050" w:rsidRPr="00EA59AD" w:rsidRDefault="00BD5050" w:rsidP="009A0C29">
      <w:pPr>
        <w:spacing w:after="0" w:line="240" w:lineRule="auto"/>
        <w:jc w:val="both"/>
        <w:rPr>
          <w:lang w:val="en-GB"/>
        </w:rPr>
      </w:pPr>
    </w:p>
    <w:p w14:paraId="79AD8ACC" w14:textId="0B6AEAAE" w:rsidR="001B7CA2" w:rsidRPr="00DE39B5" w:rsidRDefault="001B7CA2" w:rsidP="009A0C29">
      <w:pPr>
        <w:spacing w:line="240" w:lineRule="auto"/>
        <w:jc w:val="both"/>
        <w:rPr>
          <w:lang w:val="en-GB"/>
        </w:rPr>
      </w:pPr>
      <w:r w:rsidRPr="00DE39B5">
        <w:rPr>
          <w:b/>
          <w:bCs/>
          <w:lang w:val="en-GB"/>
        </w:rPr>
        <w:t xml:space="preserve">II. Anti-corruption framework </w:t>
      </w:r>
    </w:p>
    <w:p w14:paraId="11B2B404" w14:textId="77777777" w:rsidR="001B7CA2" w:rsidRPr="00DE39B5" w:rsidRDefault="001B7CA2" w:rsidP="009A0C29">
      <w:pPr>
        <w:spacing w:line="240" w:lineRule="auto"/>
        <w:jc w:val="both"/>
        <w:rPr>
          <w:lang w:val="en-GB"/>
        </w:rPr>
      </w:pPr>
      <w:r w:rsidRPr="00DE39B5">
        <w:rPr>
          <w:b/>
          <w:bCs/>
          <w:i/>
          <w:iCs/>
          <w:lang w:val="en-GB"/>
        </w:rPr>
        <w:t xml:space="preserve">A. The institutional framework capacity to fight against corruption (prevention and investigation / prosecution) </w:t>
      </w:r>
    </w:p>
    <w:p w14:paraId="0FB0B354" w14:textId="77777777" w:rsidR="001B7CA2" w:rsidRPr="00DE39B5" w:rsidRDefault="001B7CA2" w:rsidP="009A0C29">
      <w:pPr>
        <w:spacing w:line="240" w:lineRule="auto"/>
        <w:jc w:val="both"/>
        <w:rPr>
          <w:lang w:val="en-GB"/>
        </w:rPr>
      </w:pPr>
      <w:r w:rsidRPr="00DE39B5">
        <w:rPr>
          <w:i/>
          <w:iCs/>
          <w:lang w:val="en-GB"/>
        </w:rPr>
        <w:t xml:space="preserve">18. List of relevant authorities (e.g. national agencies, bodies) in charge of prevention detection, investigation and prosecution of corruption. Please indicate the resources allocated to these (the human, financial, legal, and practical resources as relevant), e.g. in table format. </w:t>
      </w:r>
    </w:p>
    <w:p w14:paraId="08DC67FF" w14:textId="77777777" w:rsidR="001B7CA2" w:rsidRPr="00DE39B5" w:rsidRDefault="001B7CA2" w:rsidP="009A0C29">
      <w:pPr>
        <w:spacing w:line="240" w:lineRule="auto"/>
        <w:jc w:val="both"/>
        <w:rPr>
          <w:lang w:val="en-GB"/>
        </w:rPr>
      </w:pPr>
      <w:r w:rsidRPr="00DE39B5">
        <w:rPr>
          <w:b/>
          <w:bCs/>
          <w:i/>
          <w:iCs/>
          <w:lang w:val="en-GB"/>
        </w:rPr>
        <w:t xml:space="preserve">B. Prevention </w:t>
      </w:r>
    </w:p>
    <w:p w14:paraId="0A8E6A3F" w14:textId="77777777" w:rsidR="001B7CA2" w:rsidRPr="00DE39B5" w:rsidRDefault="001B7CA2" w:rsidP="009A0C29">
      <w:pPr>
        <w:spacing w:line="240" w:lineRule="auto"/>
        <w:jc w:val="both"/>
        <w:rPr>
          <w:lang w:val="en-GB"/>
        </w:rPr>
      </w:pPr>
      <w:r w:rsidRPr="00DE39B5">
        <w:rPr>
          <w:i/>
          <w:iCs/>
          <w:lang w:val="en-GB"/>
        </w:rPr>
        <w:t xml:space="preserve">19. Integrity framework including incompatibility rules (e.g.: revolving doors) </w:t>
      </w:r>
    </w:p>
    <w:p w14:paraId="148EA6BD" w14:textId="77777777" w:rsidR="001B7CA2" w:rsidRPr="00DE39B5" w:rsidRDefault="001B7CA2" w:rsidP="009A0C29">
      <w:pPr>
        <w:spacing w:line="240" w:lineRule="auto"/>
        <w:jc w:val="both"/>
        <w:rPr>
          <w:lang w:val="en-GB"/>
        </w:rPr>
      </w:pPr>
      <w:r w:rsidRPr="00DE39B5">
        <w:rPr>
          <w:i/>
          <w:iCs/>
          <w:lang w:val="en-GB"/>
        </w:rPr>
        <w:t xml:space="preserve">20. General transparency of public decision-making (including public access to information such as lobbying, asset disclosure rules and transparency of political party financing) </w:t>
      </w:r>
    </w:p>
    <w:p w14:paraId="3F9F6ED0" w14:textId="77777777" w:rsidR="001B7CA2" w:rsidRPr="00DE39B5" w:rsidRDefault="001B7CA2" w:rsidP="009A0C29">
      <w:pPr>
        <w:spacing w:line="240" w:lineRule="auto"/>
        <w:jc w:val="both"/>
        <w:rPr>
          <w:lang w:val="en-GB"/>
        </w:rPr>
      </w:pPr>
      <w:r w:rsidRPr="00DE39B5">
        <w:rPr>
          <w:i/>
          <w:iCs/>
          <w:lang w:val="en-GB"/>
        </w:rPr>
        <w:t xml:space="preserve">21. Rules on preventing conflict of interests in the public sector </w:t>
      </w:r>
    </w:p>
    <w:p w14:paraId="626AE658" w14:textId="77777777" w:rsidR="001B7CA2" w:rsidRPr="00DE39B5" w:rsidRDefault="001B7CA2" w:rsidP="009A0C29">
      <w:pPr>
        <w:spacing w:line="240" w:lineRule="auto"/>
        <w:jc w:val="both"/>
        <w:rPr>
          <w:lang w:val="en-GB"/>
        </w:rPr>
      </w:pPr>
      <w:r w:rsidRPr="00DE39B5">
        <w:rPr>
          <w:i/>
          <w:iCs/>
          <w:lang w:val="en-GB"/>
        </w:rPr>
        <w:t xml:space="preserve">22. Measures in place to ensure whistleblower protection and encourage reporting of corruption </w:t>
      </w:r>
    </w:p>
    <w:p w14:paraId="3A13B46E" w14:textId="77777777" w:rsidR="001B7CA2" w:rsidRPr="00DE39B5" w:rsidRDefault="001B7CA2" w:rsidP="009A0C29">
      <w:pPr>
        <w:spacing w:line="240" w:lineRule="auto"/>
        <w:jc w:val="both"/>
        <w:rPr>
          <w:lang w:val="en-GB"/>
        </w:rPr>
      </w:pPr>
      <w:r w:rsidRPr="00DE39B5">
        <w:rPr>
          <w:i/>
          <w:iCs/>
          <w:lang w:val="en-GB"/>
        </w:rPr>
        <w:t xml:space="preserve">23. List the sectors with high-risks of corruption in your Member State and list the relevant measures taken/envisaged for preventing corruption and conflict of interest in these sectors. (e.g. public procurement, healthcare, other). </w:t>
      </w:r>
    </w:p>
    <w:p w14:paraId="20FDC079" w14:textId="77777777" w:rsidR="001B7CA2" w:rsidRPr="00DE39B5" w:rsidRDefault="001B7CA2" w:rsidP="009A0C29">
      <w:pPr>
        <w:spacing w:line="240" w:lineRule="auto"/>
        <w:jc w:val="both"/>
        <w:rPr>
          <w:lang w:val="en-GB"/>
        </w:rPr>
      </w:pPr>
      <w:r w:rsidRPr="00DE39B5">
        <w:rPr>
          <w:i/>
          <w:iCs/>
          <w:lang w:val="en-GB"/>
        </w:rPr>
        <w:t xml:space="preserve">24. Measures taken to address corruption risks in the context of the COVID-19 pandemic. </w:t>
      </w:r>
    </w:p>
    <w:p w14:paraId="41CD93A2" w14:textId="77777777" w:rsidR="001B7CA2" w:rsidRPr="00DE39B5" w:rsidRDefault="001B7CA2" w:rsidP="009A0C29">
      <w:pPr>
        <w:spacing w:line="240" w:lineRule="auto"/>
        <w:jc w:val="both"/>
        <w:rPr>
          <w:lang w:val="en-GB"/>
        </w:rPr>
      </w:pPr>
      <w:r w:rsidRPr="00DE39B5">
        <w:rPr>
          <w:i/>
          <w:iCs/>
          <w:lang w:val="en-GB"/>
        </w:rPr>
        <w:t xml:space="preserve">25. Any other relevant measures to prevent corruption in public and private sector </w:t>
      </w:r>
    </w:p>
    <w:p w14:paraId="06A5981B" w14:textId="77777777" w:rsidR="001B7CA2" w:rsidRPr="00DE39B5" w:rsidRDefault="001B7CA2" w:rsidP="009A0C29">
      <w:pPr>
        <w:spacing w:line="240" w:lineRule="auto"/>
        <w:jc w:val="both"/>
        <w:rPr>
          <w:lang w:val="en-GB"/>
        </w:rPr>
      </w:pPr>
      <w:r w:rsidRPr="00DE39B5">
        <w:rPr>
          <w:b/>
          <w:bCs/>
          <w:i/>
          <w:iCs/>
          <w:lang w:val="en-GB"/>
        </w:rPr>
        <w:t xml:space="preserve">C. Repressive measures </w:t>
      </w:r>
    </w:p>
    <w:p w14:paraId="19C8E6A7" w14:textId="77777777" w:rsidR="001B7CA2" w:rsidRPr="00DE39B5" w:rsidRDefault="001B7CA2" w:rsidP="009A0C29">
      <w:pPr>
        <w:spacing w:line="240" w:lineRule="auto"/>
        <w:jc w:val="both"/>
        <w:rPr>
          <w:lang w:val="en-GB"/>
        </w:rPr>
      </w:pPr>
      <w:r w:rsidRPr="00DE39B5">
        <w:rPr>
          <w:i/>
          <w:iCs/>
          <w:lang w:val="en-GB"/>
        </w:rPr>
        <w:t xml:space="preserve">26. Criminalisation of corruption and related offences </w:t>
      </w:r>
    </w:p>
    <w:p w14:paraId="4B4559E7" w14:textId="77777777" w:rsidR="001B7CA2" w:rsidRPr="00DE39B5" w:rsidRDefault="001B7CA2" w:rsidP="009A0C29">
      <w:pPr>
        <w:spacing w:line="240" w:lineRule="auto"/>
        <w:jc w:val="both"/>
        <w:rPr>
          <w:lang w:val="en-GB"/>
        </w:rPr>
      </w:pPr>
      <w:r w:rsidRPr="00DE39B5">
        <w:rPr>
          <w:i/>
          <w:iCs/>
          <w:lang w:val="en-GB"/>
        </w:rPr>
        <w:t xml:space="preserve">27. Data on investigation and application of sanctions for corruption offences (including for legal persons and high level and complex corruption cases) and their transparency, including as regards to the implementation of EU funds. </w:t>
      </w:r>
    </w:p>
    <w:p w14:paraId="3E96C677" w14:textId="77777777" w:rsidR="001B7CA2" w:rsidRPr="00DE39B5" w:rsidRDefault="001B7CA2" w:rsidP="009A0C29">
      <w:pPr>
        <w:spacing w:line="240" w:lineRule="auto"/>
        <w:jc w:val="both"/>
        <w:rPr>
          <w:lang w:val="en-GB"/>
        </w:rPr>
      </w:pPr>
      <w:r w:rsidRPr="00DE39B5">
        <w:rPr>
          <w:i/>
          <w:iCs/>
          <w:lang w:val="en-GB"/>
        </w:rPr>
        <w:t xml:space="preserve">28. Potential obstacles to investigation and prosecution of high-level and complex corruption cases (e.g. political immunity regulation) </w:t>
      </w:r>
    </w:p>
    <w:p w14:paraId="2309AE15" w14:textId="77777777" w:rsidR="002043C9" w:rsidRDefault="001B7CA2" w:rsidP="009A0C29">
      <w:pPr>
        <w:tabs>
          <w:tab w:val="left" w:pos="3753"/>
        </w:tabs>
        <w:spacing w:line="240" w:lineRule="auto"/>
        <w:jc w:val="both"/>
        <w:rPr>
          <w:b/>
          <w:bCs/>
          <w:i/>
          <w:iCs/>
          <w:lang w:val="en-GB"/>
        </w:rPr>
      </w:pPr>
      <w:r w:rsidRPr="00DE39B5">
        <w:rPr>
          <w:b/>
          <w:bCs/>
          <w:i/>
          <w:iCs/>
          <w:lang w:val="en-GB"/>
        </w:rPr>
        <w:t xml:space="preserve">Other – please specify </w:t>
      </w:r>
    </w:p>
    <w:p w14:paraId="2F09CC61" w14:textId="77777777" w:rsidR="001B7CA2" w:rsidRPr="00DE39B5" w:rsidRDefault="001B7CA2" w:rsidP="009A0C29">
      <w:pPr>
        <w:spacing w:line="240" w:lineRule="auto"/>
        <w:jc w:val="both"/>
        <w:rPr>
          <w:lang w:val="en-GB"/>
        </w:rPr>
      </w:pPr>
      <w:r w:rsidRPr="00DE39B5">
        <w:rPr>
          <w:b/>
          <w:bCs/>
          <w:lang w:val="en-GB"/>
        </w:rPr>
        <w:t xml:space="preserve">III. Media pluralism </w:t>
      </w:r>
    </w:p>
    <w:p w14:paraId="25F27A5C" w14:textId="77777777" w:rsidR="001B7CA2" w:rsidRPr="00DE39B5" w:rsidRDefault="001B7CA2" w:rsidP="009A0C29">
      <w:pPr>
        <w:spacing w:line="240" w:lineRule="auto"/>
        <w:jc w:val="both"/>
        <w:rPr>
          <w:lang w:val="en-GB"/>
        </w:rPr>
      </w:pPr>
      <w:r w:rsidRPr="00DE39B5">
        <w:rPr>
          <w:b/>
          <w:bCs/>
          <w:i/>
          <w:iCs/>
          <w:lang w:val="en-GB"/>
        </w:rPr>
        <w:t xml:space="preserve">A. Media authorities and bodies </w:t>
      </w:r>
    </w:p>
    <w:p w14:paraId="624CDC15" w14:textId="77777777" w:rsidR="001B7CA2" w:rsidRPr="00DE39B5" w:rsidRDefault="001B7CA2" w:rsidP="009A0C29">
      <w:pPr>
        <w:spacing w:line="240" w:lineRule="auto"/>
        <w:jc w:val="both"/>
        <w:rPr>
          <w:lang w:val="en-GB"/>
        </w:rPr>
      </w:pPr>
      <w:r w:rsidRPr="00DE39B5">
        <w:rPr>
          <w:i/>
          <w:iCs/>
          <w:lang w:val="en-GB"/>
        </w:rPr>
        <w:t xml:space="preserve">29. Independence, enforcement powers and adequacy of resources of media regulatory authorities and bodies </w:t>
      </w:r>
    </w:p>
    <w:p w14:paraId="39A40877" w14:textId="77777777" w:rsidR="001B7CA2" w:rsidRPr="00DE39B5" w:rsidRDefault="001B7CA2" w:rsidP="009A0C29">
      <w:pPr>
        <w:spacing w:line="240" w:lineRule="auto"/>
        <w:jc w:val="both"/>
        <w:rPr>
          <w:lang w:val="en-GB"/>
        </w:rPr>
      </w:pPr>
      <w:r w:rsidRPr="00DE39B5">
        <w:rPr>
          <w:i/>
          <w:iCs/>
          <w:lang w:val="en-GB"/>
        </w:rPr>
        <w:t xml:space="preserve">30. Conditions and procedures for the appointment and dismissal of the head / members of the collegiate body of media regulatory authorities and bodies </w:t>
      </w:r>
    </w:p>
    <w:p w14:paraId="64E59A37" w14:textId="77777777" w:rsidR="001B7CA2" w:rsidRPr="00DE39B5" w:rsidRDefault="001B7CA2" w:rsidP="009A0C29">
      <w:pPr>
        <w:spacing w:line="240" w:lineRule="auto"/>
        <w:jc w:val="both"/>
        <w:rPr>
          <w:lang w:val="en-GB"/>
        </w:rPr>
      </w:pPr>
      <w:r w:rsidRPr="00DE39B5">
        <w:rPr>
          <w:i/>
          <w:iCs/>
          <w:lang w:val="en-GB"/>
        </w:rPr>
        <w:t xml:space="preserve">31. Existence and functions of media councils or other self-regulatory bodies </w:t>
      </w:r>
    </w:p>
    <w:p w14:paraId="575A19C7" w14:textId="77777777" w:rsidR="001B7CA2" w:rsidRPr="00DE39B5" w:rsidRDefault="001B7CA2" w:rsidP="009A0C29">
      <w:pPr>
        <w:spacing w:line="240" w:lineRule="auto"/>
        <w:jc w:val="both"/>
        <w:rPr>
          <w:lang w:val="en-GB"/>
        </w:rPr>
      </w:pPr>
      <w:r w:rsidRPr="00DE39B5">
        <w:rPr>
          <w:b/>
          <w:bCs/>
          <w:i/>
          <w:iCs/>
          <w:lang w:val="en-GB"/>
        </w:rPr>
        <w:t xml:space="preserve">B. Transparency of media ownership and government interference </w:t>
      </w:r>
    </w:p>
    <w:p w14:paraId="369BD36A" w14:textId="77777777" w:rsidR="001B7CA2" w:rsidRPr="00DE39B5" w:rsidRDefault="001B7CA2" w:rsidP="009A0C29">
      <w:pPr>
        <w:spacing w:line="240" w:lineRule="auto"/>
        <w:jc w:val="both"/>
        <w:rPr>
          <w:lang w:val="en-GB"/>
        </w:rPr>
      </w:pPr>
      <w:r w:rsidRPr="00DE39B5">
        <w:rPr>
          <w:i/>
          <w:iCs/>
          <w:lang w:val="en-GB"/>
        </w:rPr>
        <w:t xml:space="preserve">32. The transparent allocation of state advertising (including any rules regulating the matter); other safeguards against state / political interference </w:t>
      </w:r>
    </w:p>
    <w:p w14:paraId="130A6779" w14:textId="77777777" w:rsidR="001B7CA2" w:rsidRPr="00DE39B5" w:rsidRDefault="001B7CA2" w:rsidP="009A0C29">
      <w:pPr>
        <w:spacing w:line="240" w:lineRule="auto"/>
        <w:jc w:val="both"/>
        <w:rPr>
          <w:lang w:val="en-GB"/>
        </w:rPr>
      </w:pPr>
      <w:r w:rsidRPr="00DE39B5">
        <w:rPr>
          <w:i/>
          <w:iCs/>
          <w:lang w:val="en-GB"/>
        </w:rPr>
        <w:t xml:space="preserve">33. Rules governing transparency of media ownership and public availability of media ownership information </w:t>
      </w:r>
    </w:p>
    <w:p w14:paraId="113037E5" w14:textId="77777777" w:rsidR="001B7CA2" w:rsidRPr="00DE39B5" w:rsidRDefault="001B7CA2" w:rsidP="009A0C29">
      <w:pPr>
        <w:spacing w:line="240" w:lineRule="auto"/>
        <w:jc w:val="both"/>
        <w:rPr>
          <w:lang w:val="en-GB"/>
        </w:rPr>
      </w:pPr>
      <w:r w:rsidRPr="00DE39B5">
        <w:rPr>
          <w:b/>
          <w:bCs/>
          <w:i/>
          <w:iCs/>
          <w:lang w:val="en-GB"/>
        </w:rPr>
        <w:t xml:space="preserve">C. Framework for journalists' protection </w:t>
      </w:r>
    </w:p>
    <w:p w14:paraId="01DD02BE" w14:textId="77777777" w:rsidR="001B7CA2" w:rsidRPr="00DE39B5" w:rsidRDefault="001B7CA2" w:rsidP="009A0C29">
      <w:pPr>
        <w:spacing w:line="240" w:lineRule="auto"/>
        <w:jc w:val="both"/>
        <w:rPr>
          <w:lang w:val="en-GB"/>
        </w:rPr>
      </w:pPr>
      <w:r w:rsidRPr="00DE39B5">
        <w:rPr>
          <w:i/>
          <w:iCs/>
          <w:lang w:val="en-GB"/>
        </w:rPr>
        <w:t xml:space="preserve">34. Rules and practices guaranteeing journalist's independence and safety </w:t>
      </w:r>
    </w:p>
    <w:p w14:paraId="0D1DF810" w14:textId="0958CF7B" w:rsidR="009370E4" w:rsidRPr="009B72CE" w:rsidRDefault="001B7CA2" w:rsidP="009A0C29">
      <w:pPr>
        <w:spacing w:line="240" w:lineRule="auto"/>
        <w:jc w:val="both"/>
        <w:rPr>
          <w:i/>
          <w:iCs/>
          <w:lang w:val="en-GB"/>
        </w:rPr>
      </w:pPr>
      <w:r w:rsidRPr="00DE39B5">
        <w:rPr>
          <w:i/>
          <w:iCs/>
          <w:lang w:val="en-GB"/>
        </w:rPr>
        <w:t xml:space="preserve">35. Law enforcement capacity to ensure journalists' safety and to investigate attacks on journalists </w:t>
      </w:r>
    </w:p>
    <w:p w14:paraId="35F67EA8" w14:textId="77777777" w:rsidR="001B7CA2" w:rsidRPr="00DE39B5" w:rsidRDefault="001B7CA2" w:rsidP="009A0C29">
      <w:pPr>
        <w:spacing w:line="240" w:lineRule="auto"/>
        <w:jc w:val="both"/>
        <w:rPr>
          <w:lang w:val="en-GB"/>
        </w:rPr>
      </w:pPr>
      <w:r w:rsidRPr="00DE39B5">
        <w:rPr>
          <w:i/>
          <w:iCs/>
          <w:lang w:val="en-GB"/>
        </w:rPr>
        <w:t xml:space="preserve">36. Access to information and public documents </w:t>
      </w:r>
    </w:p>
    <w:p w14:paraId="4C65C142" w14:textId="77777777" w:rsidR="001B7CA2" w:rsidRPr="00DE39B5" w:rsidRDefault="001B7CA2" w:rsidP="009A0C29">
      <w:pPr>
        <w:spacing w:line="240" w:lineRule="auto"/>
        <w:jc w:val="both"/>
        <w:rPr>
          <w:lang w:val="en-GB"/>
        </w:rPr>
      </w:pPr>
      <w:r w:rsidRPr="00DE39B5">
        <w:rPr>
          <w:i/>
          <w:iCs/>
          <w:lang w:val="en-GB"/>
        </w:rPr>
        <w:t xml:space="preserve">37. Lawsuits and convictions against journalists (incl. defamation cases) and safeguards against abuse </w:t>
      </w:r>
    </w:p>
    <w:p w14:paraId="76B3CCBA" w14:textId="77777777" w:rsidR="001B7CA2" w:rsidRPr="00DE39B5" w:rsidRDefault="001B7CA2" w:rsidP="009A0C29">
      <w:pPr>
        <w:spacing w:line="240" w:lineRule="auto"/>
        <w:jc w:val="both"/>
        <w:rPr>
          <w:lang w:val="en-GB"/>
        </w:rPr>
      </w:pPr>
      <w:r w:rsidRPr="00DE39B5">
        <w:rPr>
          <w:b/>
          <w:bCs/>
          <w:i/>
          <w:iCs/>
          <w:lang w:val="en-GB"/>
        </w:rPr>
        <w:t xml:space="preserve">Other – please specify </w:t>
      </w:r>
    </w:p>
    <w:p w14:paraId="6AC1EDE9" w14:textId="77777777" w:rsidR="001B7CA2" w:rsidRPr="00DE39B5" w:rsidRDefault="001B7CA2" w:rsidP="009A0C29">
      <w:pPr>
        <w:spacing w:line="240" w:lineRule="auto"/>
        <w:jc w:val="both"/>
        <w:rPr>
          <w:lang w:val="en-GB"/>
        </w:rPr>
      </w:pPr>
      <w:r w:rsidRPr="00DE39B5">
        <w:rPr>
          <w:b/>
          <w:bCs/>
          <w:lang w:val="en-GB"/>
        </w:rPr>
        <w:t xml:space="preserve">IV. Other institutional issues related to checks and balances </w:t>
      </w:r>
    </w:p>
    <w:p w14:paraId="2CD0E4AE" w14:textId="77777777" w:rsidR="001B7CA2" w:rsidRPr="00DE39B5" w:rsidRDefault="001B7CA2" w:rsidP="009A0C29">
      <w:pPr>
        <w:spacing w:line="240" w:lineRule="auto"/>
        <w:jc w:val="both"/>
        <w:rPr>
          <w:lang w:val="en-GB"/>
        </w:rPr>
      </w:pPr>
      <w:r w:rsidRPr="00DE39B5">
        <w:rPr>
          <w:b/>
          <w:bCs/>
          <w:i/>
          <w:iCs/>
          <w:lang w:val="en-GB"/>
        </w:rPr>
        <w:t xml:space="preserve">A. The process for preparing and enacting laws </w:t>
      </w:r>
    </w:p>
    <w:p w14:paraId="64E1A34D" w14:textId="2CB573A0" w:rsidR="001B7CA2" w:rsidRDefault="001B7CA2" w:rsidP="009A0C29">
      <w:pPr>
        <w:spacing w:line="240" w:lineRule="auto"/>
        <w:jc w:val="both"/>
        <w:rPr>
          <w:i/>
          <w:iCs/>
          <w:lang w:val="en-GB"/>
        </w:rPr>
      </w:pPr>
      <w:r w:rsidRPr="00DE39B5">
        <w:rPr>
          <w:i/>
          <w:iCs/>
          <w:lang w:val="en-GB"/>
        </w:rPr>
        <w:t xml:space="preserve">38. Framework, policy and use of impact assessments, stakeholders'/public consultations (particularly consultation of judiciary on judicial reforms), and transparency and quality of the legislative process </w:t>
      </w:r>
    </w:p>
    <w:p w14:paraId="51472B05" w14:textId="07A07A7D" w:rsidR="00C1383D" w:rsidRPr="00C1383D" w:rsidRDefault="004E49D9">
      <w:pPr>
        <w:spacing w:line="240" w:lineRule="auto"/>
        <w:jc w:val="both"/>
        <w:rPr>
          <w:lang w:val="en-GB"/>
        </w:rPr>
      </w:pPr>
      <w:r>
        <w:rPr>
          <w:lang w:val="en-US"/>
        </w:rPr>
        <w:t xml:space="preserve">In the report on </w:t>
      </w:r>
      <w:r w:rsidR="00312885">
        <w:rPr>
          <w:lang w:val="en-US"/>
        </w:rPr>
        <w:t xml:space="preserve">its </w:t>
      </w:r>
      <w:r>
        <w:rPr>
          <w:lang w:val="en-US"/>
        </w:rPr>
        <w:t xml:space="preserve">2018 </w:t>
      </w:r>
      <w:r w:rsidR="00312885">
        <w:rPr>
          <w:lang w:val="en-US"/>
        </w:rPr>
        <w:t xml:space="preserve">visit to Spain, the </w:t>
      </w:r>
      <w:r w:rsidR="0037540E">
        <w:rPr>
          <w:lang w:val="en-US"/>
        </w:rPr>
        <w:t xml:space="preserve">UN </w:t>
      </w:r>
      <w:r w:rsidR="00312885">
        <w:rPr>
          <w:lang w:val="en-US"/>
        </w:rPr>
        <w:t xml:space="preserve">Working Group on People of African Descent </w:t>
      </w:r>
      <w:r w:rsidR="00233309">
        <w:rPr>
          <w:lang w:val="en-US"/>
        </w:rPr>
        <w:t>recommended</w:t>
      </w:r>
      <w:r w:rsidR="00312885">
        <w:rPr>
          <w:lang w:val="en-US"/>
        </w:rPr>
        <w:t xml:space="preserve"> Spain </w:t>
      </w:r>
      <w:r w:rsidR="00233309">
        <w:rPr>
          <w:lang w:val="en-US"/>
        </w:rPr>
        <w:t>undertake legislative reforms affecting people of African descent in consultation with</w:t>
      </w:r>
      <w:r>
        <w:rPr>
          <w:lang w:val="en-US"/>
        </w:rPr>
        <w:t>,</w:t>
      </w:r>
      <w:r w:rsidR="00233309">
        <w:rPr>
          <w:lang w:val="en-US"/>
        </w:rPr>
        <w:t xml:space="preserve"> and the involvement of</w:t>
      </w:r>
      <w:r>
        <w:rPr>
          <w:lang w:val="en-US"/>
        </w:rPr>
        <w:t>,</w:t>
      </w:r>
      <w:r w:rsidR="00233309">
        <w:rPr>
          <w:lang w:val="en-US"/>
        </w:rPr>
        <w:t xml:space="preserve"> civil society representing them</w:t>
      </w:r>
      <w:r w:rsidR="008D7962">
        <w:rPr>
          <w:lang w:val="en-US"/>
        </w:rPr>
        <w:t xml:space="preserve"> (</w:t>
      </w:r>
      <w:hyperlink r:id="rId21" w:history="1">
        <w:r w:rsidR="00086286" w:rsidRPr="00086286">
          <w:rPr>
            <w:rStyle w:val="Hyperlink"/>
            <w:lang w:val="en-US"/>
          </w:rPr>
          <w:t>A/HRC/39/69/Add.2</w:t>
        </w:r>
      </w:hyperlink>
      <w:r w:rsidR="00312885" w:rsidRPr="00BA5012">
        <w:rPr>
          <w:lang w:val="en-GB"/>
        </w:rPr>
        <w:t xml:space="preserve">, para </w:t>
      </w:r>
      <w:r w:rsidR="00233309">
        <w:rPr>
          <w:lang w:val="en-GB"/>
        </w:rPr>
        <w:t>58</w:t>
      </w:r>
      <w:r w:rsidR="00312885">
        <w:rPr>
          <w:lang w:val="en-GB"/>
        </w:rPr>
        <w:t>).</w:t>
      </w:r>
      <w:r w:rsidR="00F739D7">
        <w:rPr>
          <w:lang w:val="en-GB"/>
        </w:rPr>
        <w:t xml:space="preserve"> </w:t>
      </w:r>
      <w:r w:rsidR="00696193" w:rsidRPr="008D7962">
        <w:rPr>
          <w:lang w:val="en-GB"/>
        </w:rPr>
        <w:t xml:space="preserve">In </w:t>
      </w:r>
      <w:r w:rsidR="008D7962" w:rsidRPr="008D7962">
        <w:rPr>
          <w:lang w:val="en-GB"/>
        </w:rPr>
        <w:t>its 2020</w:t>
      </w:r>
      <w:r w:rsidR="00696193" w:rsidRPr="008D7962">
        <w:rPr>
          <w:lang w:val="en-GB"/>
        </w:rPr>
        <w:t xml:space="preserve"> Universal Periodic Review, </w:t>
      </w:r>
      <w:r w:rsidR="00F739D7" w:rsidRPr="008D7962">
        <w:rPr>
          <w:lang w:val="en-GB"/>
        </w:rPr>
        <w:t xml:space="preserve">Spain supported a </w:t>
      </w:r>
      <w:r w:rsidR="00696193" w:rsidRPr="008D7962">
        <w:rPr>
          <w:lang w:val="en-GB"/>
        </w:rPr>
        <w:t>similar</w:t>
      </w:r>
      <w:r w:rsidR="00F739D7" w:rsidRPr="008D7962">
        <w:rPr>
          <w:lang w:val="en-GB"/>
        </w:rPr>
        <w:t xml:space="preserve"> recommendation </w:t>
      </w:r>
      <w:r w:rsidR="008D7962">
        <w:rPr>
          <w:lang w:val="en-GB"/>
        </w:rPr>
        <w:t>(</w:t>
      </w:r>
      <w:hyperlink r:id="rId22" w:history="1">
        <w:r w:rsidRPr="008D7962">
          <w:rPr>
            <w:rStyle w:val="Hyperlink"/>
            <w:lang w:val="en-GB"/>
          </w:rPr>
          <w:t>A/HRC/44/7</w:t>
        </w:r>
      </w:hyperlink>
      <w:r w:rsidRPr="008D7962">
        <w:rPr>
          <w:lang w:val="en-GB"/>
        </w:rPr>
        <w:t xml:space="preserve"> para 150.220 and </w:t>
      </w:r>
      <w:hyperlink r:id="rId23" w:history="1">
        <w:r w:rsidR="00C1383D" w:rsidRPr="008D7962">
          <w:rPr>
            <w:rStyle w:val="Hyperlink"/>
            <w:lang w:val="en-GB"/>
          </w:rPr>
          <w:t>A/HRC/44/7/Add.1</w:t>
        </w:r>
      </w:hyperlink>
      <w:r w:rsidR="00C1383D" w:rsidRPr="008D7962">
        <w:rPr>
          <w:lang w:val="en-GB"/>
        </w:rPr>
        <w:t>, para 10).</w:t>
      </w:r>
      <w:r w:rsidR="00C1383D">
        <w:rPr>
          <w:lang w:val="en-GB"/>
        </w:rPr>
        <w:t xml:space="preserve"> </w:t>
      </w:r>
    </w:p>
    <w:p w14:paraId="0F36D942" w14:textId="2F99FE3F" w:rsidR="00EF4DF8" w:rsidRDefault="001B7CA2" w:rsidP="009A0C29">
      <w:pPr>
        <w:spacing w:line="240" w:lineRule="auto"/>
        <w:jc w:val="both"/>
        <w:rPr>
          <w:i/>
          <w:iCs/>
          <w:lang w:val="en-GB"/>
        </w:rPr>
      </w:pPr>
      <w:r w:rsidRPr="00DE39B5">
        <w:rPr>
          <w:i/>
          <w:iCs/>
          <w:lang w:val="en-GB"/>
        </w:rPr>
        <w:t xml:space="preserve">39. Rules and use of fast-track procedures and emergency procedures (for example, the percentage of decisions adopted through emergency/urgent procedure compared to the total number of adopted decisions) </w:t>
      </w:r>
    </w:p>
    <w:p w14:paraId="529FAD71" w14:textId="77777777" w:rsidR="001B7CA2" w:rsidRPr="00DE39B5" w:rsidRDefault="001B7CA2" w:rsidP="009A0C29">
      <w:pPr>
        <w:spacing w:line="240" w:lineRule="auto"/>
        <w:jc w:val="both"/>
        <w:rPr>
          <w:lang w:val="en-GB"/>
        </w:rPr>
      </w:pPr>
      <w:r w:rsidRPr="00DE39B5">
        <w:rPr>
          <w:i/>
          <w:iCs/>
          <w:lang w:val="en-GB"/>
        </w:rPr>
        <w:t xml:space="preserve">40. Regime for constitutional review of laws </w:t>
      </w:r>
    </w:p>
    <w:p w14:paraId="52CD9F57" w14:textId="77777777" w:rsidR="001B7CA2" w:rsidRPr="00DE39B5" w:rsidRDefault="001B7CA2" w:rsidP="009A0C29">
      <w:pPr>
        <w:spacing w:line="240" w:lineRule="auto"/>
        <w:jc w:val="both"/>
        <w:rPr>
          <w:lang w:val="en-GB"/>
        </w:rPr>
      </w:pPr>
      <w:r w:rsidRPr="00DE39B5">
        <w:rPr>
          <w:i/>
          <w:iCs/>
          <w:lang w:val="en-GB"/>
        </w:rPr>
        <w:t xml:space="preserve">41. COVID-19: provide update on significant developments with regard to emergency regimes in the context of the COVID-19 pandemic </w:t>
      </w:r>
    </w:p>
    <w:p w14:paraId="3566BDE6" w14:textId="77777777" w:rsidR="001B7CA2" w:rsidRPr="00DE39B5" w:rsidRDefault="001B7CA2" w:rsidP="009A0C29">
      <w:pPr>
        <w:spacing w:line="240" w:lineRule="auto"/>
        <w:jc w:val="both"/>
        <w:rPr>
          <w:lang w:val="en-GB"/>
        </w:rPr>
      </w:pPr>
      <w:r w:rsidRPr="00DE39B5">
        <w:rPr>
          <w:lang w:val="en-GB"/>
        </w:rPr>
        <w:t xml:space="preserve">- </w:t>
      </w:r>
      <w:r w:rsidRPr="00DE39B5">
        <w:rPr>
          <w:i/>
          <w:iCs/>
          <w:lang w:val="en-GB"/>
        </w:rPr>
        <w:t xml:space="preserve">judicial review (including constitutional review) of emergency regimes and measures in the context of COVID-19 pandemic </w:t>
      </w:r>
    </w:p>
    <w:p w14:paraId="418FEC9B" w14:textId="77777777" w:rsidR="001B7CA2" w:rsidRPr="00DE39B5" w:rsidRDefault="001B7CA2" w:rsidP="009A0C29">
      <w:pPr>
        <w:spacing w:line="240" w:lineRule="auto"/>
        <w:jc w:val="both"/>
        <w:rPr>
          <w:lang w:val="en-GB"/>
        </w:rPr>
      </w:pPr>
      <w:r w:rsidRPr="00DE39B5">
        <w:rPr>
          <w:lang w:val="en-GB"/>
        </w:rPr>
        <w:t xml:space="preserve">- </w:t>
      </w:r>
      <w:r w:rsidRPr="00DE39B5">
        <w:rPr>
          <w:i/>
          <w:iCs/>
          <w:lang w:val="en-GB"/>
        </w:rPr>
        <w:t xml:space="preserve">oversight by Parliament of emergency regimes and measures in the context of COVID-19 pandemic </w:t>
      </w:r>
    </w:p>
    <w:p w14:paraId="4974DE29" w14:textId="77777777" w:rsidR="001B7CA2" w:rsidRPr="00DE39B5" w:rsidRDefault="001B7CA2" w:rsidP="009A0C29">
      <w:pPr>
        <w:spacing w:line="240" w:lineRule="auto"/>
        <w:jc w:val="both"/>
        <w:rPr>
          <w:lang w:val="en-GB"/>
        </w:rPr>
      </w:pPr>
      <w:r w:rsidRPr="00DE39B5">
        <w:rPr>
          <w:lang w:val="en-GB"/>
        </w:rPr>
        <w:t xml:space="preserve">- </w:t>
      </w:r>
      <w:r w:rsidRPr="00DE39B5">
        <w:rPr>
          <w:i/>
          <w:iCs/>
          <w:lang w:val="en-GB"/>
        </w:rPr>
        <w:t xml:space="preserve">measures taken to ensure the continued activity of Parliament (including possible best practices) </w:t>
      </w:r>
    </w:p>
    <w:p w14:paraId="237B9B4B" w14:textId="77777777" w:rsidR="001B7CA2" w:rsidRPr="00DE39B5" w:rsidRDefault="001B7CA2" w:rsidP="009A0C29">
      <w:pPr>
        <w:spacing w:line="240" w:lineRule="auto"/>
        <w:jc w:val="both"/>
        <w:rPr>
          <w:lang w:val="en-GB"/>
        </w:rPr>
      </w:pPr>
      <w:r w:rsidRPr="00DE39B5">
        <w:rPr>
          <w:b/>
          <w:bCs/>
          <w:i/>
          <w:iCs/>
          <w:lang w:val="en-GB"/>
        </w:rPr>
        <w:t xml:space="preserve">B. Independent authorities </w:t>
      </w:r>
    </w:p>
    <w:p w14:paraId="25D40A66" w14:textId="6BDE13E9" w:rsidR="001B7CA2" w:rsidRDefault="001B7CA2" w:rsidP="009A0C29">
      <w:pPr>
        <w:spacing w:line="240" w:lineRule="auto"/>
        <w:jc w:val="both"/>
        <w:rPr>
          <w:i/>
          <w:iCs/>
          <w:lang w:val="en-GB"/>
        </w:rPr>
      </w:pPr>
      <w:r w:rsidRPr="00DE39B5">
        <w:rPr>
          <w:i/>
          <w:iCs/>
          <w:lang w:val="en-GB"/>
        </w:rPr>
        <w:t>42. Independence, capacity and powers of national human rights institutions (‘NHRIs’), of ombudsman institutions if different from NHRIs, of equality bodies if different from NHRIs and of supreme audit institutions</w:t>
      </w:r>
    </w:p>
    <w:p w14:paraId="4ABBF8AA" w14:textId="70D1EC0F" w:rsidR="0037540E" w:rsidRPr="002D1B58" w:rsidRDefault="0037540E" w:rsidP="009A0C29">
      <w:pPr>
        <w:spacing w:before="100" w:beforeAutospacing="1" w:after="100" w:afterAutospacing="1" w:line="240" w:lineRule="auto"/>
        <w:jc w:val="both"/>
        <w:rPr>
          <w:lang w:val="en-GB"/>
        </w:rPr>
      </w:pPr>
      <w:r>
        <w:rPr>
          <w:lang w:val="en-GB"/>
        </w:rPr>
        <w:t xml:space="preserve">In its 2019 concluding observations, the UN Committee on the Rights of Persons with Disabilities expressed concern </w:t>
      </w:r>
      <w:r w:rsidRPr="003D6363">
        <w:rPr>
          <w:lang w:val="en-GB"/>
        </w:rPr>
        <w:t xml:space="preserve">about </w:t>
      </w:r>
      <w:r>
        <w:rPr>
          <w:lang w:val="en-GB"/>
        </w:rPr>
        <w:t>the</w:t>
      </w:r>
      <w:r w:rsidRPr="003D6363">
        <w:rPr>
          <w:lang w:val="en-GB"/>
        </w:rPr>
        <w:t xml:space="preserve"> independent monitoring of the implementation of the Convention</w:t>
      </w:r>
      <w:r>
        <w:rPr>
          <w:lang w:val="en-GB"/>
        </w:rPr>
        <w:t xml:space="preserve">. The Committee recommended the State party to strengthen </w:t>
      </w:r>
      <w:r w:rsidRPr="003D6363">
        <w:rPr>
          <w:lang w:val="en-GB"/>
        </w:rPr>
        <w:t>the capacity of the Spanish Committee of Representatives of Persons with Disabilities and its role as an independent monitoring mechanism for the implementation of the Convention, and provide adequate resources and funding for its functioning</w:t>
      </w:r>
      <w:r w:rsidR="00411B06">
        <w:rPr>
          <w:lang w:val="en-GB"/>
        </w:rPr>
        <w:t xml:space="preserve"> (</w:t>
      </w:r>
      <w:hyperlink r:id="rId24" w:history="1">
        <w:r w:rsidRPr="00D975EE">
          <w:rPr>
            <w:rStyle w:val="Hyperlink"/>
            <w:lang w:val="en-GB"/>
          </w:rPr>
          <w:t>CRPD/C/ESP/CO/2-3</w:t>
        </w:r>
      </w:hyperlink>
      <w:r>
        <w:rPr>
          <w:lang w:val="en-GB"/>
        </w:rPr>
        <w:t xml:space="preserve">, para 62, 63). </w:t>
      </w:r>
    </w:p>
    <w:p w14:paraId="29DE2AB0" w14:textId="77777777" w:rsidR="008D7962" w:rsidRDefault="0037540E" w:rsidP="009A0C29">
      <w:pPr>
        <w:spacing w:line="240" w:lineRule="auto"/>
        <w:jc w:val="both"/>
        <w:rPr>
          <w:lang w:val="en-GB"/>
        </w:rPr>
      </w:pPr>
      <w:r>
        <w:rPr>
          <w:lang w:val="en-GB"/>
        </w:rPr>
        <w:t xml:space="preserve">In its 2018 concluding observations, the UN Committee on the Rights of the Child recommended Spain to take measures necessary to protect and reinforce the independent monitoring of children’s rights and to reopen the Office of the Ombudsman for Children in Madrid. It recommended the State party to strengthen the </w:t>
      </w:r>
      <w:r w:rsidRPr="00E6210F">
        <w:rPr>
          <w:lang w:val="en-GB"/>
        </w:rPr>
        <w:t>capacity of the national office of the Ombudsman to receive, investigate and address complaints by children in a child-sensitive manner, particularly children in those autonomous communities where no</w:t>
      </w:r>
      <w:r w:rsidR="00411B06">
        <w:rPr>
          <w:lang w:val="en-GB"/>
        </w:rPr>
        <w:t xml:space="preserve"> office of the Ombudsman exists (</w:t>
      </w:r>
      <w:hyperlink r:id="rId25" w:history="1">
        <w:r w:rsidRPr="007D7762">
          <w:rPr>
            <w:rStyle w:val="Hyperlink"/>
            <w:lang w:val="en-GB"/>
          </w:rPr>
          <w:t>CRC/C/ESP/CO/5-6</w:t>
        </w:r>
      </w:hyperlink>
      <w:r>
        <w:rPr>
          <w:lang w:val="en-GB"/>
        </w:rPr>
        <w:t xml:space="preserve">, para 11). </w:t>
      </w:r>
    </w:p>
    <w:p w14:paraId="06EE7CD8" w14:textId="18A6A77A" w:rsidR="00544F2E" w:rsidRDefault="008D7962" w:rsidP="009A0C29">
      <w:pPr>
        <w:spacing w:line="240" w:lineRule="auto"/>
        <w:jc w:val="both"/>
        <w:rPr>
          <w:lang w:val="en-GB"/>
        </w:rPr>
      </w:pPr>
      <w:r w:rsidRPr="008D7962">
        <w:rPr>
          <w:lang w:val="en-GB"/>
        </w:rPr>
        <w:t>In 2020</w:t>
      </w:r>
      <w:r w:rsidR="0037540E" w:rsidRPr="008D7962">
        <w:rPr>
          <w:lang w:val="en-GB"/>
        </w:rPr>
        <w:t>, Spain supported a recommendation from the Universal Periodic Review to strengthen the capacity of the Office of the Ombudsman in order to adequately respon</w:t>
      </w:r>
      <w:r w:rsidRPr="008D7962">
        <w:rPr>
          <w:lang w:val="en-GB"/>
        </w:rPr>
        <w:t>d to children’s complaints (</w:t>
      </w:r>
      <w:hyperlink r:id="rId26" w:history="1">
        <w:r w:rsidRPr="008D7962">
          <w:rPr>
            <w:rStyle w:val="Hyperlink"/>
            <w:lang w:val="en-GB"/>
          </w:rPr>
          <w:t>A/HRC/44/7</w:t>
        </w:r>
      </w:hyperlink>
      <w:r w:rsidRPr="008D7962">
        <w:rPr>
          <w:lang w:val="en-GB"/>
        </w:rPr>
        <w:t xml:space="preserve"> and </w:t>
      </w:r>
      <w:r w:rsidR="0037540E" w:rsidRPr="008D7962">
        <w:rPr>
          <w:lang w:val="en-GB"/>
        </w:rPr>
        <w:t xml:space="preserve"> </w:t>
      </w:r>
      <w:hyperlink r:id="rId27" w:history="1">
        <w:r w:rsidR="0037540E" w:rsidRPr="008D7962">
          <w:rPr>
            <w:rStyle w:val="Hyperlink"/>
            <w:lang w:val="en-GB"/>
          </w:rPr>
          <w:t>A/HRC/44/7/Add.1</w:t>
        </w:r>
      </w:hyperlink>
      <w:r w:rsidR="0037540E" w:rsidRPr="008D7962">
        <w:rPr>
          <w:lang w:val="en-GB"/>
        </w:rPr>
        <w:t>, para. 10, 150.22).</w:t>
      </w:r>
      <w:r w:rsidR="0037540E">
        <w:rPr>
          <w:lang w:val="en-GB"/>
        </w:rPr>
        <w:t xml:space="preserve"> </w:t>
      </w:r>
    </w:p>
    <w:p w14:paraId="7C6178C3" w14:textId="77777777" w:rsidR="00A43545" w:rsidRDefault="00A43545" w:rsidP="009A0C29">
      <w:pPr>
        <w:spacing w:line="240" w:lineRule="auto"/>
        <w:jc w:val="both"/>
        <w:rPr>
          <w:b/>
          <w:bCs/>
          <w:i/>
          <w:iCs/>
          <w:lang w:val="en-GB"/>
        </w:rPr>
      </w:pPr>
    </w:p>
    <w:p w14:paraId="25A79266" w14:textId="426D7655" w:rsidR="001B7CA2" w:rsidRPr="00DE39B5" w:rsidRDefault="001B7CA2" w:rsidP="009A0C29">
      <w:pPr>
        <w:spacing w:line="240" w:lineRule="auto"/>
        <w:jc w:val="both"/>
        <w:rPr>
          <w:lang w:val="en-GB"/>
        </w:rPr>
      </w:pPr>
      <w:r w:rsidRPr="00DE39B5">
        <w:rPr>
          <w:b/>
          <w:bCs/>
          <w:i/>
          <w:iCs/>
          <w:lang w:val="en-GB"/>
        </w:rPr>
        <w:t xml:space="preserve">C. Accessibility and judicial review of administrative decisions </w:t>
      </w:r>
    </w:p>
    <w:p w14:paraId="28A8155E" w14:textId="4CD99642" w:rsidR="001B7CA2" w:rsidRDefault="001B7CA2" w:rsidP="009A0C29">
      <w:pPr>
        <w:spacing w:line="240" w:lineRule="auto"/>
        <w:jc w:val="both"/>
        <w:rPr>
          <w:i/>
          <w:iCs/>
          <w:lang w:val="en-GB"/>
        </w:rPr>
      </w:pPr>
      <w:r w:rsidRPr="00DE39B5">
        <w:rPr>
          <w:i/>
          <w:iCs/>
          <w:lang w:val="en-GB"/>
        </w:rPr>
        <w:t xml:space="preserve">43. Transparency of administrative decisions and sanctions (incl. their publication and rules on collection of related data) and judicial review (incl. scope, suspensive effect) </w:t>
      </w:r>
    </w:p>
    <w:p w14:paraId="3A241BF0" w14:textId="7D3E6094" w:rsidR="004E49D9" w:rsidRPr="00DA61A6" w:rsidRDefault="00DA61A6" w:rsidP="009A0C29">
      <w:pPr>
        <w:spacing w:line="240" w:lineRule="auto"/>
        <w:jc w:val="both"/>
        <w:rPr>
          <w:lang w:val="en-US"/>
        </w:rPr>
      </w:pPr>
      <w:r>
        <w:rPr>
          <w:lang w:val="en-US"/>
        </w:rPr>
        <w:t xml:space="preserve">In the report on its 2018 visit to Spain, the UN Working Group on People of African Descent recommended Spain to adopt measures to shorten the delay in processing asylum requests and ensure persons have </w:t>
      </w:r>
      <w:r w:rsidRPr="00B0263D">
        <w:rPr>
          <w:lang w:val="en-US"/>
        </w:rPr>
        <w:t>access to procedural safeguards to challenge their detention</w:t>
      </w:r>
      <w:r w:rsidR="008D7962">
        <w:rPr>
          <w:lang w:val="en-US"/>
        </w:rPr>
        <w:t xml:space="preserve"> (</w:t>
      </w:r>
      <w:hyperlink r:id="rId28" w:history="1">
        <w:r w:rsidRPr="00086286">
          <w:rPr>
            <w:rStyle w:val="Hyperlink"/>
            <w:lang w:val="en-US"/>
          </w:rPr>
          <w:t>A/HRC/39/69/Add.2</w:t>
        </w:r>
      </w:hyperlink>
      <w:r>
        <w:rPr>
          <w:lang w:val="en-US"/>
        </w:rPr>
        <w:t>, para. 66).</w:t>
      </w:r>
    </w:p>
    <w:p w14:paraId="53488779" w14:textId="4D6C346A" w:rsidR="001B7CA2" w:rsidRDefault="001B7CA2" w:rsidP="009A0C29">
      <w:pPr>
        <w:spacing w:line="240" w:lineRule="auto"/>
        <w:jc w:val="both"/>
        <w:rPr>
          <w:i/>
          <w:iCs/>
          <w:lang w:val="en-GB"/>
        </w:rPr>
      </w:pPr>
      <w:r w:rsidRPr="00DE39B5">
        <w:rPr>
          <w:i/>
          <w:iCs/>
          <w:lang w:val="en-GB"/>
        </w:rPr>
        <w:t xml:space="preserve">44. Implementation by the public administration and State institutions of final court decisions </w:t>
      </w:r>
    </w:p>
    <w:p w14:paraId="1203784D" w14:textId="691B9398" w:rsidR="00E51E57" w:rsidRPr="00E51E57" w:rsidRDefault="00E51E57" w:rsidP="00E51E57">
      <w:pPr>
        <w:spacing w:line="240" w:lineRule="auto"/>
        <w:jc w:val="both"/>
        <w:rPr>
          <w:iCs/>
          <w:lang w:val="en-GB"/>
        </w:rPr>
      </w:pPr>
      <w:r w:rsidRPr="00E51E57">
        <w:rPr>
          <w:iCs/>
          <w:lang w:val="en-GB"/>
        </w:rPr>
        <w:t xml:space="preserve">In </w:t>
      </w:r>
      <w:r>
        <w:rPr>
          <w:iCs/>
          <w:lang w:val="en-GB"/>
        </w:rPr>
        <w:t>2018, the</w:t>
      </w:r>
      <w:r w:rsidRPr="00E51E57">
        <w:rPr>
          <w:iCs/>
          <w:lang w:val="en-GB"/>
        </w:rPr>
        <w:t xml:space="preserve"> UN Committee on the Elimination of Discriminatio</w:t>
      </w:r>
      <w:r>
        <w:rPr>
          <w:iCs/>
          <w:lang w:val="en-GB"/>
        </w:rPr>
        <w:t>n against Women (CEDAW) welcomed</w:t>
      </w:r>
      <w:r w:rsidRPr="00E51E57">
        <w:rPr>
          <w:iCs/>
          <w:lang w:val="en-GB"/>
        </w:rPr>
        <w:t xml:space="preserve"> the decision by Spain’s highest court in favour of a victim of domestic violence, which reaffirmed that Spanish law must incorporate the rights and freedoms of human rights treaties.</w:t>
      </w:r>
      <w:r>
        <w:rPr>
          <w:iCs/>
          <w:lang w:val="en-GB"/>
        </w:rPr>
        <w:t xml:space="preserve"> The hailed judgment centered</w:t>
      </w:r>
      <w:r w:rsidRPr="00E51E57">
        <w:rPr>
          <w:iCs/>
          <w:lang w:val="en-GB"/>
        </w:rPr>
        <w:t xml:space="preserve"> on the CEDAW’s decision in an individual complaint case brought </w:t>
      </w:r>
      <w:r>
        <w:rPr>
          <w:iCs/>
          <w:lang w:val="en-GB"/>
        </w:rPr>
        <w:t xml:space="preserve">by a woman who had failed to obtain from the </w:t>
      </w:r>
      <w:r>
        <w:rPr>
          <w:rStyle w:val="lblnewsfulltext"/>
          <w:lang w:val="en-US"/>
        </w:rPr>
        <w:t>Spanish</w:t>
      </w:r>
      <w:r w:rsidRPr="00E51E57">
        <w:rPr>
          <w:rStyle w:val="lblnewsfulltext"/>
          <w:lang w:val="en-US"/>
        </w:rPr>
        <w:t xml:space="preserve"> police, administrative and judicial authorities </w:t>
      </w:r>
      <w:r>
        <w:rPr>
          <w:iCs/>
          <w:lang w:val="en-GB"/>
        </w:rPr>
        <w:t xml:space="preserve">the protection needed in a situation of repeated domestic violence, which had resulted in the death of her child. </w:t>
      </w:r>
      <w:r w:rsidRPr="00E51E57">
        <w:rPr>
          <w:iCs/>
          <w:lang w:val="en-GB"/>
        </w:rPr>
        <w:t>Among other recommendations, CEDAW recommended Spain pay compensation</w:t>
      </w:r>
      <w:r>
        <w:rPr>
          <w:iCs/>
          <w:lang w:val="en-GB"/>
        </w:rPr>
        <w:t xml:space="preserve"> to the complainant</w:t>
      </w:r>
      <w:r w:rsidRPr="00E51E57">
        <w:rPr>
          <w:iCs/>
          <w:lang w:val="en-GB"/>
        </w:rPr>
        <w:t xml:space="preserve">, and to take measures to ensure that past acts of domestic violence </w:t>
      </w:r>
      <w:r>
        <w:rPr>
          <w:iCs/>
          <w:lang w:val="en-GB"/>
        </w:rPr>
        <w:t>were</w:t>
      </w:r>
      <w:r w:rsidRPr="00E51E57">
        <w:rPr>
          <w:iCs/>
          <w:lang w:val="en-GB"/>
        </w:rPr>
        <w:t xml:space="preserve"> taken into consideration when determining custody and visitation rights regarding children.</w:t>
      </w:r>
      <w:r>
        <w:rPr>
          <w:iCs/>
          <w:lang w:val="en-GB"/>
        </w:rPr>
        <w:t xml:space="preserve"> The complainant </w:t>
      </w:r>
      <w:r w:rsidRPr="00E51E57">
        <w:rPr>
          <w:iCs/>
          <w:lang w:val="en-GB"/>
        </w:rPr>
        <w:t>was obliged to take the case to the Spanish courts to enforce compliance with the Committee’s recommendation; a case that went all the way to Spain’s Supreme Court. On appeal, the Supreme Court enforced compliance with the Committee’s recommendations</w:t>
      </w:r>
      <w:r>
        <w:rPr>
          <w:iCs/>
          <w:lang w:val="en-GB"/>
        </w:rPr>
        <w:t xml:space="preserve">, </w:t>
      </w:r>
      <w:r w:rsidRPr="00E51E57">
        <w:rPr>
          <w:iCs/>
          <w:lang w:val="en-GB"/>
        </w:rPr>
        <w:t>acknowledg</w:t>
      </w:r>
      <w:r>
        <w:rPr>
          <w:iCs/>
          <w:lang w:val="en-GB"/>
        </w:rPr>
        <w:t xml:space="preserve">ing </w:t>
      </w:r>
      <w:r w:rsidRPr="00E51E57">
        <w:rPr>
          <w:iCs/>
          <w:lang w:val="en-GB"/>
        </w:rPr>
        <w:t>that the provisions of international treaties to which Spain is a party, form</w:t>
      </w:r>
      <w:r>
        <w:rPr>
          <w:iCs/>
          <w:lang w:val="en-GB"/>
        </w:rPr>
        <w:t>ed</w:t>
      </w:r>
      <w:r w:rsidRPr="00E51E57">
        <w:rPr>
          <w:iCs/>
          <w:lang w:val="en-GB"/>
        </w:rPr>
        <w:t xml:space="preserve"> part of its law and that the recommendations of CEDAW </w:t>
      </w:r>
      <w:r>
        <w:rPr>
          <w:iCs/>
          <w:lang w:val="en-GB"/>
        </w:rPr>
        <w:t>were</w:t>
      </w:r>
      <w:r w:rsidRPr="00E51E57">
        <w:rPr>
          <w:iCs/>
          <w:lang w:val="en-GB"/>
        </w:rPr>
        <w:t xml:space="preserve"> binding in nature.</w:t>
      </w:r>
      <w:r w:rsidR="00A43545">
        <w:rPr>
          <w:iCs/>
          <w:lang w:val="en-GB"/>
        </w:rPr>
        <w:t xml:space="preserve"> </w:t>
      </w:r>
      <w:r>
        <w:rPr>
          <w:iCs/>
          <w:lang w:val="en-GB"/>
        </w:rPr>
        <w:t xml:space="preserve">(Decision </w:t>
      </w:r>
      <w:r w:rsidRPr="00E51E57">
        <w:rPr>
          <w:iCs/>
          <w:lang w:val="en-GB"/>
        </w:rPr>
        <w:t>CEDAW/C/58/D/47/2012</w:t>
      </w:r>
      <w:r>
        <w:rPr>
          <w:iCs/>
          <w:lang w:val="en-GB"/>
        </w:rPr>
        <w:t xml:space="preserve">, See also  </w:t>
      </w:r>
      <w:hyperlink r:id="rId29" w:history="1">
        <w:r w:rsidRPr="002739F0">
          <w:rPr>
            <w:rStyle w:val="Hyperlink"/>
            <w:iCs/>
            <w:lang w:val="en-GB"/>
          </w:rPr>
          <w:t>https://www.ohchr.org/EN/NewsEvents/Pages/DisplayNews.aspx?NewsID=23849&amp;LangID=E</w:t>
        </w:r>
      </w:hyperlink>
      <w:r>
        <w:rPr>
          <w:iCs/>
          <w:lang w:val="en-GB"/>
        </w:rPr>
        <w:t xml:space="preserve"> ).  </w:t>
      </w:r>
    </w:p>
    <w:p w14:paraId="2081FC02" w14:textId="77777777" w:rsidR="001B7CA2" w:rsidRPr="00DE39B5" w:rsidRDefault="001B7CA2" w:rsidP="009A0C29">
      <w:pPr>
        <w:spacing w:line="240" w:lineRule="auto"/>
        <w:jc w:val="both"/>
        <w:rPr>
          <w:lang w:val="en-GB"/>
        </w:rPr>
      </w:pPr>
      <w:r w:rsidRPr="00DE39B5">
        <w:rPr>
          <w:b/>
          <w:bCs/>
          <w:i/>
          <w:iCs/>
          <w:lang w:val="en-GB"/>
        </w:rPr>
        <w:t xml:space="preserve">D. The enabling framework for civil society </w:t>
      </w:r>
    </w:p>
    <w:p w14:paraId="35ADA468" w14:textId="3FCDB12E" w:rsidR="001B7CA2" w:rsidRDefault="001B7CA2" w:rsidP="009A0C29">
      <w:pPr>
        <w:spacing w:line="240" w:lineRule="auto"/>
        <w:jc w:val="both"/>
        <w:rPr>
          <w:i/>
          <w:iCs/>
          <w:lang w:val="en-GB"/>
        </w:rPr>
      </w:pPr>
      <w:r w:rsidRPr="00DE39B5">
        <w:rPr>
          <w:i/>
          <w:iCs/>
          <w:lang w:val="en-GB"/>
        </w:rPr>
        <w:t xml:space="preserve">45. Measures regarding the framework for civil society organisations (e.g. access to funding, registration rules, measures capable of affecting the public perception of civil society organisations, etc.) </w:t>
      </w:r>
    </w:p>
    <w:p w14:paraId="5112F54C" w14:textId="7F77A985" w:rsidR="00EE67F0" w:rsidRPr="00EE67F0" w:rsidRDefault="00EE67F0" w:rsidP="00EE67F0">
      <w:pPr>
        <w:spacing w:line="240" w:lineRule="auto"/>
        <w:jc w:val="both"/>
        <w:rPr>
          <w:lang w:val="en-GB"/>
        </w:rPr>
      </w:pPr>
      <w:r w:rsidRPr="00EE67F0">
        <w:rPr>
          <w:lang w:val="en-GB"/>
        </w:rPr>
        <w:t>In her February 2021 global update to the UN Human Rights Council, the UN High Commissioner for Human Rights expressed concern about measures in several EU countries restricting the work of organizations that protect migrants’ rights and deliver life-saving assistance. She noted that criminal or administrative pro</w:t>
      </w:r>
      <w:r>
        <w:rPr>
          <w:lang w:val="en-GB"/>
        </w:rPr>
        <w:t>ceedings had been initiated in Spain</w:t>
      </w:r>
      <w:r w:rsidRPr="00EE67F0">
        <w:rPr>
          <w:lang w:val="en-GB"/>
        </w:rPr>
        <w:t xml:space="preserve"> against humanitarian actors involved in search a</w:t>
      </w:r>
      <w:r>
        <w:rPr>
          <w:lang w:val="en-GB"/>
        </w:rPr>
        <w:t xml:space="preserve">nd rescue in the Mediterranean. </w:t>
      </w:r>
      <w:r w:rsidRPr="00EE67F0">
        <w:rPr>
          <w:lang w:val="en-GB"/>
        </w:rPr>
        <w:t>(</w:t>
      </w:r>
      <w:r>
        <w:rPr>
          <w:lang w:val="en-GB"/>
        </w:rPr>
        <w:t xml:space="preserve">See at </w:t>
      </w:r>
      <w:hyperlink r:id="rId30" w:history="1">
        <w:r w:rsidRPr="002739F0">
          <w:rPr>
            <w:rStyle w:val="Hyperlink"/>
            <w:lang w:val="en-GB"/>
          </w:rPr>
          <w:t>www.ohchr.org/EN/NewsEvents/Pages/DisplayNews.aspx?NewsID=26806&amp;LangID=E</w:t>
        </w:r>
      </w:hyperlink>
      <w:r w:rsidRPr="00EE67F0">
        <w:rPr>
          <w:lang w:val="en-GB"/>
        </w:rPr>
        <w:t>).</w:t>
      </w:r>
    </w:p>
    <w:p w14:paraId="6188EECA" w14:textId="77777777" w:rsidR="001B7CA2" w:rsidRPr="00DE39B5" w:rsidRDefault="001B7CA2" w:rsidP="009A0C29">
      <w:pPr>
        <w:spacing w:line="240" w:lineRule="auto"/>
        <w:jc w:val="both"/>
        <w:rPr>
          <w:lang w:val="en-GB"/>
        </w:rPr>
      </w:pPr>
      <w:r w:rsidRPr="00DE39B5">
        <w:rPr>
          <w:b/>
          <w:bCs/>
          <w:i/>
          <w:iCs/>
          <w:lang w:val="en-GB"/>
        </w:rPr>
        <w:t xml:space="preserve">E. Initiatives to foster a rule of law culture </w:t>
      </w:r>
    </w:p>
    <w:p w14:paraId="5D3DA062" w14:textId="77777777" w:rsidR="001B7CA2" w:rsidRPr="00DE39B5" w:rsidRDefault="001B7CA2" w:rsidP="009A0C29">
      <w:pPr>
        <w:spacing w:line="240" w:lineRule="auto"/>
        <w:jc w:val="both"/>
        <w:rPr>
          <w:lang w:val="en-GB"/>
        </w:rPr>
      </w:pPr>
      <w:r w:rsidRPr="00DE39B5">
        <w:rPr>
          <w:i/>
          <w:iCs/>
          <w:lang w:val="en-GB"/>
        </w:rPr>
        <w:t xml:space="preserve">46. Measures to foster a rule of law culture (e.g. debates in national parliaments on the rule of law, public information campaigns on rule of law issues, etc.) </w:t>
      </w:r>
    </w:p>
    <w:p w14:paraId="203ECA1D" w14:textId="77777777" w:rsidR="001B7CA2" w:rsidRPr="00DE39B5" w:rsidRDefault="001B7CA2" w:rsidP="009A0C29">
      <w:pPr>
        <w:spacing w:line="240" w:lineRule="auto"/>
        <w:jc w:val="both"/>
        <w:rPr>
          <w:lang w:val="en-GB"/>
        </w:rPr>
      </w:pPr>
      <w:r w:rsidRPr="00DE39B5">
        <w:rPr>
          <w:b/>
          <w:bCs/>
          <w:i/>
          <w:iCs/>
          <w:lang w:val="en-GB"/>
        </w:rPr>
        <w:t>Other – please specify</w:t>
      </w:r>
    </w:p>
    <w:p w14:paraId="6B297B43" w14:textId="588673F6" w:rsidR="00E75F98" w:rsidRPr="00DE39B5" w:rsidRDefault="00E75F98" w:rsidP="009A0C29">
      <w:pPr>
        <w:spacing w:line="240" w:lineRule="auto"/>
        <w:jc w:val="both"/>
        <w:rPr>
          <w:rFonts w:eastAsia="Calibri" w:cstheme="minorHAnsi"/>
          <w:lang w:val="en-GB"/>
        </w:rPr>
      </w:pPr>
    </w:p>
    <w:p w14:paraId="3170F293" w14:textId="593DB2E6" w:rsidR="008C7A94" w:rsidRPr="00DE39B5" w:rsidRDefault="008C7A94" w:rsidP="00E7579B">
      <w:pPr>
        <w:jc w:val="both"/>
        <w:rPr>
          <w:rFonts w:eastAsia="Calibri" w:cstheme="minorHAnsi"/>
          <w:sz w:val="20"/>
          <w:szCs w:val="24"/>
          <w:lang w:val="en-GB"/>
        </w:rPr>
      </w:pPr>
    </w:p>
    <w:sectPr w:rsidR="008C7A94" w:rsidRPr="00DE39B5">
      <w:footerReference w:type="default" r:id="rId31"/>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A110D" w14:textId="77777777" w:rsidR="009A26F0" w:rsidRDefault="009A26F0" w:rsidP="00AB6BD8">
      <w:pPr>
        <w:spacing w:after="0" w:line="240" w:lineRule="auto"/>
      </w:pPr>
      <w:r>
        <w:separator/>
      </w:r>
    </w:p>
  </w:endnote>
  <w:endnote w:type="continuationSeparator" w:id="0">
    <w:p w14:paraId="507009A7" w14:textId="77777777" w:rsidR="009A26F0" w:rsidRDefault="009A26F0"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4AF9CE37" w:rsidR="008F5F0F" w:rsidRDefault="008F5F0F">
        <w:pPr>
          <w:pStyle w:val="Footer"/>
          <w:jc w:val="center"/>
        </w:pPr>
        <w:r>
          <w:fldChar w:fldCharType="begin"/>
        </w:r>
        <w:r>
          <w:instrText>PAGE   \* MERGEFORMAT</w:instrText>
        </w:r>
        <w:r>
          <w:fldChar w:fldCharType="separate"/>
        </w:r>
        <w:r w:rsidR="009A26F0" w:rsidRPr="009A26F0">
          <w:rPr>
            <w:noProof/>
            <w:lang w:val="fr-FR"/>
          </w:rPr>
          <w:t>1</w:t>
        </w:r>
        <w:r>
          <w:fldChar w:fldCharType="end"/>
        </w:r>
      </w:p>
    </w:sdtContent>
  </w:sdt>
  <w:p w14:paraId="1E65FFBB" w14:textId="77777777" w:rsidR="008F5F0F" w:rsidRDefault="008F5F0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3DAC9" w14:textId="77777777" w:rsidR="009A26F0" w:rsidRDefault="009A26F0" w:rsidP="00AB6BD8">
      <w:pPr>
        <w:spacing w:after="0" w:line="240" w:lineRule="auto"/>
      </w:pPr>
      <w:r>
        <w:separator/>
      </w:r>
    </w:p>
  </w:footnote>
  <w:footnote w:type="continuationSeparator" w:id="0">
    <w:p w14:paraId="49661A49" w14:textId="77777777" w:rsidR="009A26F0" w:rsidRDefault="009A26F0"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2"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3"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defaultTabStop w:val="708"/>
  <w:hyphenationZone w:val="425"/>
  <w:characterSpacingControl w:val="doNotCompress"/>
  <w:savePreviewPicture/>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0130D"/>
    <w:rsid w:val="00024911"/>
    <w:rsid w:val="00025654"/>
    <w:rsid w:val="000704DD"/>
    <w:rsid w:val="00086286"/>
    <w:rsid w:val="000B7A79"/>
    <w:rsid w:val="000E0B23"/>
    <w:rsid w:val="000F44BE"/>
    <w:rsid w:val="000F74F4"/>
    <w:rsid w:val="00103620"/>
    <w:rsid w:val="00135A29"/>
    <w:rsid w:val="00137F92"/>
    <w:rsid w:val="0017304E"/>
    <w:rsid w:val="00183D2E"/>
    <w:rsid w:val="001907CA"/>
    <w:rsid w:val="00195595"/>
    <w:rsid w:val="001957CE"/>
    <w:rsid w:val="001965FA"/>
    <w:rsid w:val="001B7CA2"/>
    <w:rsid w:val="001C79A2"/>
    <w:rsid w:val="001C7CCF"/>
    <w:rsid w:val="001D6CED"/>
    <w:rsid w:val="002043C9"/>
    <w:rsid w:val="002057FA"/>
    <w:rsid w:val="00207339"/>
    <w:rsid w:val="00221C79"/>
    <w:rsid w:val="00221F18"/>
    <w:rsid w:val="00233309"/>
    <w:rsid w:val="002335D2"/>
    <w:rsid w:val="00244900"/>
    <w:rsid w:val="00251082"/>
    <w:rsid w:val="00262394"/>
    <w:rsid w:val="00275AE3"/>
    <w:rsid w:val="002B407D"/>
    <w:rsid w:val="002C15AB"/>
    <w:rsid w:val="002D1B58"/>
    <w:rsid w:val="002D45D1"/>
    <w:rsid w:val="00312885"/>
    <w:rsid w:val="003366EE"/>
    <w:rsid w:val="00351BA9"/>
    <w:rsid w:val="00357B2A"/>
    <w:rsid w:val="003635F9"/>
    <w:rsid w:val="00371670"/>
    <w:rsid w:val="0037540E"/>
    <w:rsid w:val="003819DA"/>
    <w:rsid w:val="00383787"/>
    <w:rsid w:val="003A292B"/>
    <w:rsid w:val="003A4BFE"/>
    <w:rsid w:val="003D1770"/>
    <w:rsid w:val="003D6363"/>
    <w:rsid w:val="003F06D8"/>
    <w:rsid w:val="003F5FB0"/>
    <w:rsid w:val="004112AA"/>
    <w:rsid w:val="00411B06"/>
    <w:rsid w:val="004123A4"/>
    <w:rsid w:val="0041343E"/>
    <w:rsid w:val="0042790B"/>
    <w:rsid w:val="00444D80"/>
    <w:rsid w:val="00451BE5"/>
    <w:rsid w:val="004573B3"/>
    <w:rsid w:val="004809CC"/>
    <w:rsid w:val="004A0573"/>
    <w:rsid w:val="004D0C08"/>
    <w:rsid w:val="004E49D9"/>
    <w:rsid w:val="004F00B8"/>
    <w:rsid w:val="00516BFD"/>
    <w:rsid w:val="00531531"/>
    <w:rsid w:val="00544F2E"/>
    <w:rsid w:val="005461E9"/>
    <w:rsid w:val="005813D8"/>
    <w:rsid w:val="005830E1"/>
    <w:rsid w:val="00583878"/>
    <w:rsid w:val="005972B1"/>
    <w:rsid w:val="005E449A"/>
    <w:rsid w:val="005E61F1"/>
    <w:rsid w:val="00607414"/>
    <w:rsid w:val="00611441"/>
    <w:rsid w:val="006151C9"/>
    <w:rsid w:val="00616288"/>
    <w:rsid w:val="00625C32"/>
    <w:rsid w:val="00661773"/>
    <w:rsid w:val="0066480F"/>
    <w:rsid w:val="00684784"/>
    <w:rsid w:val="006851EB"/>
    <w:rsid w:val="00686A22"/>
    <w:rsid w:val="00696193"/>
    <w:rsid w:val="006A1205"/>
    <w:rsid w:val="006B1DC5"/>
    <w:rsid w:val="006C6EF5"/>
    <w:rsid w:val="006F1862"/>
    <w:rsid w:val="00740061"/>
    <w:rsid w:val="00765F15"/>
    <w:rsid w:val="007B584B"/>
    <w:rsid w:val="007D384F"/>
    <w:rsid w:val="007D557A"/>
    <w:rsid w:val="007D7762"/>
    <w:rsid w:val="007F7F5F"/>
    <w:rsid w:val="0080379C"/>
    <w:rsid w:val="00812CA6"/>
    <w:rsid w:val="00815599"/>
    <w:rsid w:val="00832B97"/>
    <w:rsid w:val="00840044"/>
    <w:rsid w:val="008573FC"/>
    <w:rsid w:val="00857AE8"/>
    <w:rsid w:val="008604E4"/>
    <w:rsid w:val="0086268E"/>
    <w:rsid w:val="008628EF"/>
    <w:rsid w:val="00867498"/>
    <w:rsid w:val="0089145C"/>
    <w:rsid w:val="008A1B74"/>
    <w:rsid w:val="008A7229"/>
    <w:rsid w:val="008B5DE9"/>
    <w:rsid w:val="008C7A94"/>
    <w:rsid w:val="008D7962"/>
    <w:rsid w:val="008E537C"/>
    <w:rsid w:val="008F5F0F"/>
    <w:rsid w:val="009031FF"/>
    <w:rsid w:val="00910A01"/>
    <w:rsid w:val="00916B8E"/>
    <w:rsid w:val="009370E4"/>
    <w:rsid w:val="00943370"/>
    <w:rsid w:val="009530A8"/>
    <w:rsid w:val="009747C2"/>
    <w:rsid w:val="00997215"/>
    <w:rsid w:val="009A0C29"/>
    <w:rsid w:val="009A26F0"/>
    <w:rsid w:val="009B1E72"/>
    <w:rsid w:val="009B72CE"/>
    <w:rsid w:val="009B7AB4"/>
    <w:rsid w:val="00A00505"/>
    <w:rsid w:val="00A114BB"/>
    <w:rsid w:val="00A15584"/>
    <w:rsid w:val="00A1791C"/>
    <w:rsid w:val="00A22EE9"/>
    <w:rsid w:val="00A43545"/>
    <w:rsid w:val="00A44EFC"/>
    <w:rsid w:val="00AB4073"/>
    <w:rsid w:val="00AB6BD8"/>
    <w:rsid w:val="00AE0E07"/>
    <w:rsid w:val="00AE0FFC"/>
    <w:rsid w:val="00B0263D"/>
    <w:rsid w:val="00B15620"/>
    <w:rsid w:val="00B21550"/>
    <w:rsid w:val="00B45587"/>
    <w:rsid w:val="00B46A02"/>
    <w:rsid w:val="00B54E3F"/>
    <w:rsid w:val="00B64FCB"/>
    <w:rsid w:val="00B669A0"/>
    <w:rsid w:val="00B77A96"/>
    <w:rsid w:val="00B837B5"/>
    <w:rsid w:val="00B94426"/>
    <w:rsid w:val="00BA137B"/>
    <w:rsid w:val="00BA5012"/>
    <w:rsid w:val="00BB10FC"/>
    <w:rsid w:val="00BB26FB"/>
    <w:rsid w:val="00BB67D7"/>
    <w:rsid w:val="00BC1D9A"/>
    <w:rsid w:val="00BC202D"/>
    <w:rsid w:val="00BC645A"/>
    <w:rsid w:val="00BD5050"/>
    <w:rsid w:val="00BE5B2E"/>
    <w:rsid w:val="00C1383D"/>
    <w:rsid w:val="00C30641"/>
    <w:rsid w:val="00C30C94"/>
    <w:rsid w:val="00C31B1C"/>
    <w:rsid w:val="00C34944"/>
    <w:rsid w:val="00C35057"/>
    <w:rsid w:val="00C46DCD"/>
    <w:rsid w:val="00CB4A86"/>
    <w:rsid w:val="00CC20D9"/>
    <w:rsid w:val="00CC5815"/>
    <w:rsid w:val="00CC6B37"/>
    <w:rsid w:val="00CD1815"/>
    <w:rsid w:val="00CF698C"/>
    <w:rsid w:val="00D50253"/>
    <w:rsid w:val="00D81A0D"/>
    <w:rsid w:val="00D848D8"/>
    <w:rsid w:val="00D975EE"/>
    <w:rsid w:val="00DA2342"/>
    <w:rsid w:val="00DA325C"/>
    <w:rsid w:val="00DA61A6"/>
    <w:rsid w:val="00DB098D"/>
    <w:rsid w:val="00DB5065"/>
    <w:rsid w:val="00DC389E"/>
    <w:rsid w:val="00DC470F"/>
    <w:rsid w:val="00DE39B5"/>
    <w:rsid w:val="00DE7F07"/>
    <w:rsid w:val="00DF43FD"/>
    <w:rsid w:val="00DF55F1"/>
    <w:rsid w:val="00E07672"/>
    <w:rsid w:val="00E17165"/>
    <w:rsid w:val="00E27A9B"/>
    <w:rsid w:val="00E43B0F"/>
    <w:rsid w:val="00E51E57"/>
    <w:rsid w:val="00E6210F"/>
    <w:rsid w:val="00E63CAD"/>
    <w:rsid w:val="00E64DD2"/>
    <w:rsid w:val="00E658A8"/>
    <w:rsid w:val="00E7579B"/>
    <w:rsid w:val="00E75F98"/>
    <w:rsid w:val="00E91345"/>
    <w:rsid w:val="00E922A0"/>
    <w:rsid w:val="00EA59AD"/>
    <w:rsid w:val="00EC1E6D"/>
    <w:rsid w:val="00EE0BEE"/>
    <w:rsid w:val="00EE67F0"/>
    <w:rsid w:val="00EF1D21"/>
    <w:rsid w:val="00EF36D6"/>
    <w:rsid w:val="00EF39A5"/>
    <w:rsid w:val="00EF4DF8"/>
    <w:rsid w:val="00F50164"/>
    <w:rsid w:val="00F6238C"/>
    <w:rsid w:val="00F739D7"/>
    <w:rsid w:val="00FB0E87"/>
    <w:rsid w:val="00FE1807"/>
    <w:rsid w:val="00FE1BD3"/>
    <w:rsid w:val="00FF410C"/>
  </w:rsids>
  <m:mathPr>
    <m:mathFont m:val="Cambria Math"/>
    <m:brkBin m:val="before"/>
    <m:brkBinSub m:val="--"/>
    <m:smallFrac m:val="0"/>
    <m:dispDef/>
    <m:lMargin m:val="0"/>
    <m:rMargin m:val="0"/>
    <m:defJc m:val="centerGroup"/>
    <m:wrapIndent m:val="1440"/>
    <m:intLim m:val="subSup"/>
    <m:naryLim m:val="undOvr"/>
  </m:mathPr>
  <w:themeFontLang w:val="fr-B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AC71498E-03E6-4E57-9D91-D8D5EF42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1E57"/>
  </w:style>
  <w:style w:type="paragraph" w:styleId="Heading3">
    <w:name w:val="heading 3"/>
    <w:basedOn w:val="Normal"/>
    <w:link w:val="Heading3Char"/>
    <w:uiPriority w:val="9"/>
    <w:qFormat/>
    <w:rsid w:val="00C30641"/>
    <w:pPr>
      <w:spacing w:before="100" w:beforeAutospacing="1" w:after="100" w:afterAutospacing="1" w:line="240" w:lineRule="auto"/>
      <w:outlineLvl w:val="2"/>
    </w:pPr>
    <w:rPr>
      <w:rFonts w:ascii="Times New Roman" w:eastAsia="Times New Roman" w:hAnsi="Times New Roman" w:cs="Times New Roman"/>
      <w:b/>
      <w:bCs/>
      <w:sz w:val="27"/>
      <w:szCs w:val="27"/>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basedOn w:val="Normal"/>
    <w:link w:val="HeaderChar"/>
    <w:uiPriority w:val="99"/>
    <w:unhideWhenUsed/>
    <w:rsid w:val="00997215"/>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semiHidden/>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semiHidden/>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customStyle="1" w:styleId="UnresolvedMention2">
    <w:name w:val="Unresolved Mention2"/>
    <w:basedOn w:val="DefaultParagraphFont"/>
    <w:uiPriority w:val="99"/>
    <w:semiHidden/>
    <w:unhideWhenUsed/>
    <w:rsid w:val="00BB26FB"/>
    <w:rPr>
      <w:color w:val="605E5C"/>
      <w:shd w:val="clear" w:color="auto" w:fill="E1DFDD"/>
    </w:rPr>
  </w:style>
  <w:style w:type="character" w:customStyle="1" w:styleId="Heading3Char">
    <w:name w:val="Heading 3 Char"/>
    <w:basedOn w:val="DefaultParagraphFont"/>
    <w:link w:val="Heading3"/>
    <w:uiPriority w:val="9"/>
    <w:rsid w:val="00C30641"/>
    <w:rPr>
      <w:rFonts w:ascii="Times New Roman" w:eastAsia="Times New Roman" w:hAnsi="Times New Roman" w:cs="Times New Roman"/>
      <w:b/>
      <w:bCs/>
      <w:sz w:val="27"/>
      <w:szCs w:val="27"/>
      <w:lang w:val="de-DE" w:eastAsia="de-DE"/>
    </w:rPr>
  </w:style>
  <w:style w:type="character" w:customStyle="1" w:styleId="lblnewsfulltext">
    <w:name w:val="lblnewsfulltext"/>
    <w:basedOn w:val="DefaultParagraphFont"/>
    <w:rsid w:val="00E51E57"/>
  </w:style>
  <w:style w:type="character" w:customStyle="1" w:styleId="sessionsubtitle">
    <w:name w:val="sessionsubtitle"/>
    <w:basedOn w:val="DefaultParagraphFont"/>
    <w:rsid w:val="004279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24838">
      <w:bodyDiv w:val="1"/>
      <w:marLeft w:val="0"/>
      <w:marRight w:val="0"/>
      <w:marTop w:val="0"/>
      <w:marBottom w:val="0"/>
      <w:divBdr>
        <w:top w:val="none" w:sz="0" w:space="0" w:color="auto"/>
        <w:left w:val="none" w:sz="0" w:space="0" w:color="auto"/>
        <w:bottom w:val="none" w:sz="0" w:space="0" w:color="auto"/>
        <w:right w:val="none" w:sz="0" w:space="0" w:color="auto"/>
      </w:divBdr>
    </w:div>
    <w:div w:id="38869807">
      <w:bodyDiv w:val="1"/>
      <w:marLeft w:val="0"/>
      <w:marRight w:val="0"/>
      <w:marTop w:val="0"/>
      <w:marBottom w:val="0"/>
      <w:divBdr>
        <w:top w:val="none" w:sz="0" w:space="0" w:color="auto"/>
        <w:left w:val="none" w:sz="0" w:space="0" w:color="auto"/>
        <w:bottom w:val="none" w:sz="0" w:space="0" w:color="auto"/>
        <w:right w:val="none" w:sz="0" w:space="0" w:color="auto"/>
      </w:divBdr>
    </w:div>
    <w:div w:id="42562427">
      <w:bodyDiv w:val="1"/>
      <w:marLeft w:val="0"/>
      <w:marRight w:val="0"/>
      <w:marTop w:val="0"/>
      <w:marBottom w:val="0"/>
      <w:divBdr>
        <w:top w:val="none" w:sz="0" w:space="0" w:color="auto"/>
        <w:left w:val="none" w:sz="0" w:space="0" w:color="auto"/>
        <w:bottom w:val="none" w:sz="0" w:space="0" w:color="auto"/>
        <w:right w:val="none" w:sz="0" w:space="0" w:color="auto"/>
      </w:divBdr>
    </w:div>
    <w:div w:id="67502682">
      <w:bodyDiv w:val="1"/>
      <w:marLeft w:val="0"/>
      <w:marRight w:val="0"/>
      <w:marTop w:val="0"/>
      <w:marBottom w:val="0"/>
      <w:divBdr>
        <w:top w:val="none" w:sz="0" w:space="0" w:color="auto"/>
        <w:left w:val="none" w:sz="0" w:space="0" w:color="auto"/>
        <w:bottom w:val="none" w:sz="0" w:space="0" w:color="auto"/>
        <w:right w:val="none" w:sz="0" w:space="0" w:color="auto"/>
      </w:divBdr>
    </w:div>
    <w:div w:id="77140901">
      <w:bodyDiv w:val="1"/>
      <w:marLeft w:val="0"/>
      <w:marRight w:val="0"/>
      <w:marTop w:val="0"/>
      <w:marBottom w:val="0"/>
      <w:divBdr>
        <w:top w:val="none" w:sz="0" w:space="0" w:color="auto"/>
        <w:left w:val="none" w:sz="0" w:space="0" w:color="auto"/>
        <w:bottom w:val="none" w:sz="0" w:space="0" w:color="auto"/>
        <w:right w:val="none" w:sz="0" w:space="0" w:color="auto"/>
      </w:divBdr>
    </w:div>
    <w:div w:id="77555526">
      <w:bodyDiv w:val="1"/>
      <w:marLeft w:val="0"/>
      <w:marRight w:val="0"/>
      <w:marTop w:val="0"/>
      <w:marBottom w:val="0"/>
      <w:divBdr>
        <w:top w:val="none" w:sz="0" w:space="0" w:color="auto"/>
        <w:left w:val="none" w:sz="0" w:space="0" w:color="auto"/>
        <w:bottom w:val="none" w:sz="0" w:space="0" w:color="auto"/>
        <w:right w:val="none" w:sz="0" w:space="0" w:color="auto"/>
      </w:divBdr>
    </w:div>
    <w:div w:id="89784410">
      <w:bodyDiv w:val="1"/>
      <w:marLeft w:val="0"/>
      <w:marRight w:val="0"/>
      <w:marTop w:val="0"/>
      <w:marBottom w:val="0"/>
      <w:divBdr>
        <w:top w:val="none" w:sz="0" w:space="0" w:color="auto"/>
        <w:left w:val="none" w:sz="0" w:space="0" w:color="auto"/>
        <w:bottom w:val="none" w:sz="0" w:space="0" w:color="auto"/>
        <w:right w:val="none" w:sz="0" w:space="0" w:color="auto"/>
      </w:divBdr>
    </w:div>
    <w:div w:id="99222845">
      <w:bodyDiv w:val="1"/>
      <w:marLeft w:val="0"/>
      <w:marRight w:val="0"/>
      <w:marTop w:val="0"/>
      <w:marBottom w:val="0"/>
      <w:divBdr>
        <w:top w:val="none" w:sz="0" w:space="0" w:color="auto"/>
        <w:left w:val="none" w:sz="0" w:space="0" w:color="auto"/>
        <w:bottom w:val="none" w:sz="0" w:space="0" w:color="auto"/>
        <w:right w:val="none" w:sz="0" w:space="0" w:color="auto"/>
      </w:divBdr>
    </w:div>
    <w:div w:id="107939043">
      <w:bodyDiv w:val="1"/>
      <w:marLeft w:val="0"/>
      <w:marRight w:val="0"/>
      <w:marTop w:val="0"/>
      <w:marBottom w:val="0"/>
      <w:divBdr>
        <w:top w:val="none" w:sz="0" w:space="0" w:color="auto"/>
        <w:left w:val="none" w:sz="0" w:space="0" w:color="auto"/>
        <w:bottom w:val="none" w:sz="0" w:space="0" w:color="auto"/>
        <w:right w:val="none" w:sz="0" w:space="0" w:color="auto"/>
      </w:divBdr>
    </w:div>
    <w:div w:id="113328204">
      <w:bodyDiv w:val="1"/>
      <w:marLeft w:val="0"/>
      <w:marRight w:val="0"/>
      <w:marTop w:val="0"/>
      <w:marBottom w:val="0"/>
      <w:divBdr>
        <w:top w:val="none" w:sz="0" w:space="0" w:color="auto"/>
        <w:left w:val="none" w:sz="0" w:space="0" w:color="auto"/>
        <w:bottom w:val="none" w:sz="0" w:space="0" w:color="auto"/>
        <w:right w:val="none" w:sz="0" w:space="0" w:color="auto"/>
      </w:divBdr>
    </w:div>
    <w:div w:id="128010503">
      <w:bodyDiv w:val="1"/>
      <w:marLeft w:val="0"/>
      <w:marRight w:val="0"/>
      <w:marTop w:val="0"/>
      <w:marBottom w:val="0"/>
      <w:divBdr>
        <w:top w:val="none" w:sz="0" w:space="0" w:color="auto"/>
        <w:left w:val="none" w:sz="0" w:space="0" w:color="auto"/>
        <w:bottom w:val="none" w:sz="0" w:space="0" w:color="auto"/>
        <w:right w:val="none" w:sz="0" w:space="0" w:color="auto"/>
      </w:divBdr>
    </w:div>
    <w:div w:id="143939141">
      <w:bodyDiv w:val="1"/>
      <w:marLeft w:val="0"/>
      <w:marRight w:val="0"/>
      <w:marTop w:val="0"/>
      <w:marBottom w:val="0"/>
      <w:divBdr>
        <w:top w:val="none" w:sz="0" w:space="0" w:color="auto"/>
        <w:left w:val="none" w:sz="0" w:space="0" w:color="auto"/>
        <w:bottom w:val="none" w:sz="0" w:space="0" w:color="auto"/>
        <w:right w:val="none" w:sz="0" w:space="0" w:color="auto"/>
      </w:divBdr>
    </w:div>
    <w:div w:id="148374762">
      <w:bodyDiv w:val="1"/>
      <w:marLeft w:val="0"/>
      <w:marRight w:val="0"/>
      <w:marTop w:val="0"/>
      <w:marBottom w:val="0"/>
      <w:divBdr>
        <w:top w:val="none" w:sz="0" w:space="0" w:color="auto"/>
        <w:left w:val="none" w:sz="0" w:space="0" w:color="auto"/>
        <w:bottom w:val="none" w:sz="0" w:space="0" w:color="auto"/>
        <w:right w:val="none" w:sz="0" w:space="0" w:color="auto"/>
      </w:divBdr>
    </w:div>
    <w:div w:id="196436550">
      <w:bodyDiv w:val="1"/>
      <w:marLeft w:val="0"/>
      <w:marRight w:val="0"/>
      <w:marTop w:val="0"/>
      <w:marBottom w:val="0"/>
      <w:divBdr>
        <w:top w:val="none" w:sz="0" w:space="0" w:color="auto"/>
        <w:left w:val="none" w:sz="0" w:space="0" w:color="auto"/>
        <w:bottom w:val="none" w:sz="0" w:space="0" w:color="auto"/>
        <w:right w:val="none" w:sz="0" w:space="0" w:color="auto"/>
      </w:divBdr>
    </w:div>
    <w:div w:id="242762267">
      <w:bodyDiv w:val="1"/>
      <w:marLeft w:val="0"/>
      <w:marRight w:val="0"/>
      <w:marTop w:val="0"/>
      <w:marBottom w:val="0"/>
      <w:divBdr>
        <w:top w:val="none" w:sz="0" w:space="0" w:color="auto"/>
        <w:left w:val="none" w:sz="0" w:space="0" w:color="auto"/>
        <w:bottom w:val="none" w:sz="0" w:space="0" w:color="auto"/>
        <w:right w:val="none" w:sz="0" w:space="0" w:color="auto"/>
      </w:divBdr>
    </w:div>
    <w:div w:id="253394931">
      <w:bodyDiv w:val="1"/>
      <w:marLeft w:val="0"/>
      <w:marRight w:val="0"/>
      <w:marTop w:val="0"/>
      <w:marBottom w:val="0"/>
      <w:divBdr>
        <w:top w:val="none" w:sz="0" w:space="0" w:color="auto"/>
        <w:left w:val="none" w:sz="0" w:space="0" w:color="auto"/>
        <w:bottom w:val="none" w:sz="0" w:space="0" w:color="auto"/>
        <w:right w:val="none" w:sz="0" w:space="0" w:color="auto"/>
      </w:divBdr>
    </w:div>
    <w:div w:id="283079954">
      <w:bodyDiv w:val="1"/>
      <w:marLeft w:val="0"/>
      <w:marRight w:val="0"/>
      <w:marTop w:val="0"/>
      <w:marBottom w:val="0"/>
      <w:divBdr>
        <w:top w:val="none" w:sz="0" w:space="0" w:color="auto"/>
        <w:left w:val="none" w:sz="0" w:space="0" w:color="auto"/>
        <w:bottom w:val="none" w:sz="0" w:space="0" w:color="auto"/>
        <w:right w:val="none" w:sz="0" w:space="0" w:color="auto"/>
      </w:divBdr>
    </w:div>
    <w:div w:id="299118863">
      <w:bodyDiv w:val="1"/>
      <w:marLeft w:val="0"/>
      <w:marRight w:val="0"/>
      <w:marTop w:val="0"/>
      <w:marBottom w:val="0"/>
      <w:divBdr>
        <w:top w:val="none" w:sz="0" w:space="0" w:color="auto"/>
        <w:left w:val="none" w:sz="0" w:space="0" w:color="auto"/>
        <w:bottom w:val="none" w:sz="0" w:space="0" w:color="auto"/>
        <w:right w:val="none" w:sz="0" w:space="0" w:color="auto"/>
      </w:divBdr>
    </w:div>
    <w:div w:id="367949291">
      <w:bodyDiv w:val="1"/>
      <w:marLeft w:val="0"/>
      <w:marRight w:val="0"/>
      <w:marTop w:val="0"/>
      <w:marBottom w:val="0"/>
      <w:divBdr>
        <w:top w:val="none" w:sz="0" w:space="0" w:color="auto"/>
        <w:left w:val="none" w:sz="0" w:space="0" w:color="auto"/>
        <w:bottom w:val="none" w:sz="0" w:space="0" w:color="auto"/>
        <w:right w:val="none" w:sz="0" w:space="0" w:color="auto"/>
      </w:divBdr>
    </w:div>
    <w:div w:id="368184213">
      <w:bodyDiv w:val="1"/>
      <w:marLeft w:val="0"/>
      <w:marRight w:val="0"/>
      <w:marTop w:val="0"/>
      <w:marBottom w:val="0"/>
      <w:divBdr>
        <w:top w:val="none" w:sz="0" w:space="0" w:color="auto"/>
        <w:left w:val="none" w:sz="0" w:space="0" w:color="auto"/>
        <w:bottom w:val="none" w:sz="0" w:space="0" w:color="auto"/>
        <w:right w:val="none" w:sz="0" w:space="0" w:color="auto"/>
      </w:divBdr>
    </w:div>
    <w:div w:id="373193453">
      <w:bodyDiv w:val="1"/>
      <w:marLeft w:val="0"/>
      <w:marRight w:val="0"/>
      <w:marTop w:val="0"/>
      <w:marBottom w:val="0"/>
      <w:divBdr>
        <w:top w:val="none" w:sz="0" w:space="0" w:color="auto"/>
        <w:left w:val="none" w:sz="0" w:space="0" w:color="auto"/>
        <w:bottom w:val="none" w:sz="0" w:space="0" w:color="auto"/>
        <w:right w:val="none" w:sz="0" w:space="0" w:color="auto"/>
      </w:divBdr>
    </w:div>
    <w:div w:id="401408645">
      <w:bodyDiv w:val="1"/>
      <w:marLeft w:val="0"/>
      <w:marRight w:val="0"/>
      <w:marTop w:val="0"/>
      <w:marBottom w:val="0"/>
      <w:divBdr>
        <w:top w:val="none" w:sz="0" w:space="0" w:color="auto"/>
        <w:left w:val="none" w:sz="0" w:space="0" w:color="auto"/>
        <w:bottom w:val="none" w:sz="0" w:space="0" w:color="auto"/>
        <w:right w:val="none" w:sz="0" w:space="0" w:color="auto"/>
      </w:divBdr>
    </w:div>
    <w:div w:id="427505446">
      <w:bodyDiv w:val="1"/>
      <w:marLeft w:val="0"/>
      <w:marRight w:val="0"/>
      <w:marTop w:val="0"/>
      <w:marBottom w:val="0"/>
      <w:divBdr>
        <w:top w:val="none" w:sz="0" w:space="0" w:color="auto"/>
        <w:left w:val="none" w:sz="0" w:space="0" w:color="auto"/>
        <w:bottom w:val="none" w:sz="0" w:space="0" w:color="auto"/>
        <w:right w:val="none" w:sz="0" w:space="0" w:color="auto"/>
      </w:divBdr>
    </w:div>
    <w:div w:id="435246593">
      <w:bodyDiv w:val="1"/>
      <w:marLeft w:val="0"/>
      <w:marRight w:val="0"/>
      <w:marTop w:val="0"/>
      <w:marBottom w:val="0"/>
      <w:divBdr>
        <w:top w:val="none" w:sz="0" w:space="0" w:color="auto"/>
        <w:left w:val="none" w:sz="0" w:space="0" w:color="auto"/>
        <w:bottom w:val="none" w:sz="0" w:space="0" w:color="auto"/>
        <w:right w:val="none" w:sz="0" w:space="0" w:color="auto"/>
      </w:divBdr>
    </w:div>
    <w:div w:id="445127045">
      <w:bodyDiv w:val="1"/>
      <w:marLeft w:val="0"/>
      <w:marRight w:val="0"/>
      <w:marTop w:val="0"/>
      <w:marBottom w:val="0"/>
      <w:divBdr>
        <w:top w:val="none" w:sz="0" w:space="0" w:color="auto"/>
        <w:left w:val="none" w:sz="0" w:space="0" w:color="auto"/>
        <w:bottom w:val="none" w:sz="0" w:space="0" w:color="auto"/>
        <w:right w:val="none" w:sz="0" w:space="0" w:color="auto"/>
      </w:divBdr>
    </w:div>
    <w:div w:id="459808765">
      <w:bodyDiv w:val="1"/>
      <w:marLeft w:val="0"/>
      <w:marRight w:val="0"/>
      <w:marTop w:val="0"/>
      <w:marBottom w:val="0"/>
      <w:divBdr>
        <w:top w:val="none" w:sz="0" w:space="0" w:color="auto"/>
        <w:left w:val="none" w:sz="0" w:space="0" w:color="auto"/>
        <w:bottom w:val="none" w:sz="0" w:space="0" w:color="auto"/>
        <w:right w:val="none" w:sz="0" w:space="0" w:color="auto"/>
      </w:divBdr>
    </w:div>
    <w:div w:id="461391295">
      <w:bodyDiv w:val="1"/>
      <w:marLeft w:val="0"/>
      <w:marRight w:val="0"/>
      <w:marTop w:val="0"/>
      <w:marBottom w:val="0"/>
      <w:divBdr>
        <w:top w:val="none" w:sz="0" w:space="0" w:color="auto"/>
        <w:left w:val="none" w:sz="0" w:space="0" w:color="auto"/>
        <w:bottom w:val="none" w:sz="0" w:space="0" w:color="auto"/>
        <w:right w:val="none" w:sz="0" w:space="0" w:color="auto"/>
      </w:divBdr>
    </w:div>
    <w:div w:id="514156258">
      <w:bodyDiv w:val="1"/>
      <w:marLeft w:val="0"/>
      <w:marRight w:val="0"/>
      <w:marTop w:val="0"/>
      <w:marBottom w:val="0"/>
      <w:divBdr>
        <w:top w:val="none" w:sz="0" w:space="0" w:color="auto"/>
        <w:left w:val="none" w:sz="0" w:space="0" w:color="auto"/>
        <w:bottom w:val="none" w:sz="0" w:space="0" w:color="auto"/>
        <w:right w:val="none" w:sz="0" w:space="0" w:color="auto"/>
      </w:divBdr>
    </w:div>
    <w:div w:id="525100190">
      <w:bodyDiv w:val="1"/>
      <w:marLeft w:val="0"/>
      <w:marRight w:val="0"/>
      <w:marTop w:val="0"/>
      <w:marBottom w:val="0"/>
      <w:divBdr>
        <w:top w:val="none" w:sz="0" w:space="0" w:color="auto"/>
        <w:left w:val="none" w:sz="0" w:space="0" w:color="auto"/>
        <w:bottom w:val="none" w:sz="0" w:space="0" w:color="auto"/>
        <w:right w:val="none" w:sz="0" w:space="0" w:color="auto"/>
      </w:divBdr>
    </w:div>
    <w:div w:id="531571796">
      <w:bodyDiv w:val="1"/>
      <w:marLeft w:val="0"/>
      <w:marRight w:val="0"/>
      <w:marTop w:val="0"/>
      <w:marBottom w:val="0"/>
      <w:divBdr>
        <w:top w:val="none" w:sz="0" w:space="0" w:color="auto"/>
        <w:left w:val="none" w:sz="0" w:space="0" w:color="auto"/>
        <w:bottom w:val="none" w:sz="0" w:space="0" w:color="auto"/>
        <w:right w:val="none" w:sz="0" w:space="0" w:color="auto"/>
      </w:divBdr>
    </w:div>
    <w:div w:id="542601692">
      <w:bodyDiv w:val="1"/>
      <w:marLeft w:val="0"/>
      <w:marRight w:val="0"/>
      <w:marTop w:val="0"/>
      <w:marBottom w:val="0"/>
      <w:divBdr>
        <w:top w:val="none" w:sz="0" w:space="0" w:color="auto"/>
        <w:left w:val="none" w:sz="0" w:space="0" w:color="auto"/>
        <w:bottom w:val="none" w:sz="0" w:space="0" w:color="auto"/>
        <w:right w:val="none" w:sz="0" w:space="0" w:color="auto"/>
      </w:divBdr>
    </w:div>
    <w:div w:id="554970391">
      <w:bodyDiv w:val="1"/>
      <w:marLeft w:val="0"/>
      <w:marRight w:val="0"/>
      <w:marTop w:val="0"/>
      <w:marBottom w:val="0"/>
      <w:divBdr>
        <w:top w:val="none" w:sz="0" w:space="0" w:color="auto"/>
        <w:left w:val="none" w:sz="0" w:space="0" w:color="auto"/>
        <w:bottom w:val="none" w:sz="0" w:space="0" w:color="auto"/>
        <w:right w:val="none" w:sz="0" w:space="0" w:color="auto"/>
      </w:divBdr>
    </w:div>
    <w:div w:id="586771649">
      <w:bodyDiv w:val="1"/>
      <w:marLeft w:val="0"/>
      <w:marRight w:val="0"/>
      <w:marTop w:val="0"/>
      <w:marBottom w:val="0"/>
      <w:divBdr>
        <w:top w:val="none" w:sz="0" w:space="0" w:color="auto"/>
        <w:left w:val="none" w:sz="0" w:space="0" w:color="auto"/>
        <w:bottom w:val="none" w:sz="0" w:space="0" w:color="auto"/>
        <w:right w:val="none" w:sz="0" w:space="0" w:color="auto"/>
      </w:divBdr>
    </w:div>
    <w:div w:id="633292047">
      <w:bodyDiv w:val="1"/>
      <w:marLeft w:val="0"/>
      <w:marRight w:val="0"/>
      <w:marTop w:val="0"/>
      <w:marBottom w:val="0"/>
      <w:divBdr>
        <w:top w:val="none" w:sz="0" w:space="0" w:color="auto"/>
        <w:left w:val="none" w:sz="0" w:space="0" w:color="auto"/>
        <w:bottom w:val="none" w:sz="0" w:space="0" w:color="auto"/>
        <w:right w:val="none" w:sz="0" w:space="0" w:color="auto"/>
      </w:divBdr>
    </w:div>
    <w:div w:id="692650749">
      <w:bodyDiv w:val="1"/>
      <w:marLeft w:val="0"/>
      <w:marRight w:val="0"/>
      <w:marTop w:val="0"/>
      <w:marBottom w:val="0"/>
      <w:divBdr>
        <w:top w:val="none" w:sz="0" w:space="0" w:color="auto"/>
        <w:left w:val="none" w:sz="0" w:space="0" w:color="auto"/>
        <w:bottom w:val="none" w:sz="0" w:space="0" w:color="auto"/>
        <w:right w:val="none" w:sz="0" w:space="0" w:color="auto"/>
      </w:divBdr>
    </w:div>
    <w:div w:id="713887912">
      <w:bodyDiv w:val="1"/>
      <w:marLeft w:val="0"/>
      <w:marRight w:val="0"/>
      <w:marTop w:val="0"/>
      <w:marBottom w:val="0"/>
      <w:divBdr>
        <w:top w:val="none" w:sz="0" w:space="0" w:color="auto"/>
        <w:left w:val="none" w:sz="0" w:space="0" w:color="auto"/>
        <w:bottom w:val="none" w:sz="0" w:space="0" w:color="auto"/>
        <w:right w:val="none" w:sz="0" w:space="0" w:color="auto"/>
      </w:divBdr>
    </w:div>
    <w:div w:id="726413991">
      <w:bodyDiv w:val="1"/>
      <w:marLeft w:val="0"/>
      <w:marRight w:val="0"/>
      <w:marTop w:val="0"/>
      <w:marBottom w:val="0"/>
      <w:divBdr>
        <w:top w:val="none" w:sz="0" w:space="0" w:color="auto"/>
        <w:left w:val="none" w:sz="0" w:space="0" w:color="auto"/>
        <w:bottom w:val="none" w:sz="0" w:space="0" w:color="auto"/>
        <w:right w:val="none" w:sz="0" w:space="0" w:color="auto"/>
      </w:divBdr>
    </w:div>
    <w:div w:id="730155449">
      <w:bodyDiv w:val="1"/>
      <w:marLeft w:val="0"/>
      <w:marRight w:val="0"/>
      <w:marTop w:val="0"/>
      <w:marBottom w:val="0"/>
      <w:divBdr>
        <w:top w:val="none" w:sz="0" w:space="0" w:color="auto"/>
        <w:left w:val="none" w:sz="0" w:space="0" w:color="auto"/>
        <w:bottom w:val="none" w:sz="0" w:space="0" w:color="auto"/>
        <w:right w:val="none" w:sz="0" w:space="0" w:color="auto"/>
      </w:divBdr>
    </w:div>
    <w:div w:id="732049903">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778185898">
      <w:bodyDiv w:val="1"/>
      <w:marLeft w:val="0"/>
      <w:marRight w:val="0"/>
      <w:marTop w:val="0"/>
      <w:marBottom w:val="0"/>
      <w:divBdr>
        <w:top w:val="none" w:sz="0" w:space="0" w:color="auto"/>
        <w:left w:val="none" w:sz="0" w:space="0" w:color="auto"/>
        <w:bottom w:val="none" w:sz="0" w:space="0" w:color="auto"/>
        <w:right w:val="none" w:sz="0" w:space="0" w:color="auto"/>
      </w:divBdr>
    </w:div>
    <w:div w:id="825508681">
      <w:bodyDiv w:val="1"/>
      <w:marLeft w:val="0"/>
      <w:marRight w:val="0"/>
      <w:marTop w:val="0"/>
      <w:marBottom w:val="0"/>
      <w:divBdr>
        <w:top w:val="none" w:sz="0" w:space="0" w:color="auto"/>
        <w:left w:val="none" w:sz="0" w:space="0" w:color="auto"/>
        <w:bottom w:val="none" w:sz="0" w:space="0" w:color="auto"/>
        <w:right w:val="none" w:sz="0" w:space="0" w:color="auto"/>
      </w:divBdr>
    </w:div>
    <w:div w:id="873812728">
      <w:bodyDiv w:val="1"/>
      <w:marLeft w:val="0"/>
      <w:marRight w:val="0"/>
      <w:marTop w:val="0"/>
      <w:marBottom w:val="0"/>
      <w:divBdr>
        <w:top w:val="none" w:sz="0" w:space="0" w:color="auto"/>
        <w:left w:val="none" w:sz="0" w:space="0" w:color="auto"/>
        <w:bottom w:val="none" w:sz="0" w:space="0" w:color="auto"/>
        <w:right w:val="none" w:sz="0" w:space="0" w:color="auto"/>
      </w:divBdr>
    </w:div>
    <w:div w:id="892810594">
      <w:bodyDiv w:val="1"/>
      <w:marLeft w:val="0"/>
      <w:marRight w:val="0"/>
      <w:marTop w:val="0"/>
      <w:marBottom w:val="0"/>
      <w:divBdr>
        <w:top w:val="none" w:sz="0" w:space="0" w:color="auto"/>
        <w:left w:val="none" w:sz="0" w:space="0" w:color="auto"/>
        <w:bottom w:val="none" w:sz="0" w:space="0" w:color="auto"/>
        <w:right w:val="none" w:sz="0" w:space="0" w:color="auto"/>
      </w:divBdr>
    </w:div>
    <w:div w:id="912277831">
      <w:bodyDiv w:val="1"/>
      <w:marLeft w:val="0"/>
      <w:marRight w:val="0"/>
      <w:marTop w:val="0"/>
      <w:marBottom w:val="0"/>
      <w:divBdr>
        <w:top w:val="none" w:sz="0" w:space="0" w:color="auto"/>
        <w:left w:val="none" w:sz="0" w:space="0" w:color="auto"/>
        <w:bottom w:val="none" w:sz="0" w:space="0" w:color="auto"/>
        <w:right w:val="none" w:sz="0" w:space="0" w:color="auto"/>
      </w:divBdr>
    </w:div>
    <w:div w:id="919212154">
      <w:bodyDiv w:val="1"/>
      <w:marLeft w:val="0"/>
      <w:marRight w:val="0"/>
      <w:marTop w:val="0"/>
      <w:marBottom w:val="0"/>
      <w:divBdr>
        <w:top w:val="none" w:sz="0" w:space="0" w:color="auto"/>
        <w:left w:val="none" w:sz="0" w:space="0" w:color="auto"/>
        <w:bottom w:val="none" w:sz="0" w:space="0" w:color="auto"/>
        <w:right w:val="none" w:sz="0" w:space="0" w:color="auto"/>
      </w:divBdr>
    </w:div>
    <w:div w:id="934753407">
      <w:bodyDiv w:val="1"/>
      <w:marLeft w:val="0"/>
      <w:marRight w:val="0"/>
      <w:marTop w:val="0"/>
      <w:marBottom w:val="0"/>
      <w:divBdr>
        <w:top w:val="none" w:sz="0" w:space="0" w:color="auto"/>
        <w:left w:val="none" w:sz="0" w:space="0" w:color="auto"/>
        <w:bottom w:val="none" w:sz="0" w:space="0" w:color="auto"/>
        <w:right w:val="none" w:sz="0" w:space="0" w:color="auto"/>
      </w:divBdr>
    </w:div>
    <w:div w:id="980306585">
      <w:bodyDiv w:val="1"/>
      <w:marLeft w:val="0"/>
      <w:marRight w:val="0"/>
      <w:marTop w:val="0"/>
      <w:marBottom w:val="0"/>
      <w:divBdr>
        <w:top w:val="none" w:sz="0" w:space="0" w:color="auto"/>
        <w:left w:val="none" w:sz="0" w:space="0" w:color="auto"/>
        <w:bottom w:val="none" w:sz="0" w:space="0" w:color="auto"/>
        <w:right w:val="none" w:sz="0" w:space="0" w:color="auto"/>
      </w:divBdr>
    </w:div>
    <w:div w:id="986906939">
      <w:bodyDiv w:val="1"/>
      <w:marLeft w:val="0"/>
      <w:marRight w:val="0"/>
      <w:marTop w:val="0"/>
      <w:marBottom w:val="0"/>
      <w:divBdr>
        <w:top w:val="none" w:sz="0" w:space="0" w:color="auto"/>
        <w:left w:val="none" w:sz="0" w:space="0" w:color="auto"/>
        <w:bottom w:val="none" w:sz="0" w:space="0" w:color="auto"/>
        <w:right w:val="none" w:sz="0" w:space="0" w:color="auto"/>
      </w:divBdr>
    </w:div>
    <w:div w:id="997728654">
      <w:bodyDiv w:val="1"/>
      <w:marLeft w:val="0"/>
      <w:marRight w:val="0"/>
      <w:marTop w:val="0"/>
      <w:marBottom w:val="0"/>
      <w:divBdr>
        <w:top w:val="none" w:sz="0" w:space="0" w:color="auto"/>
        <w:left w:val="none" w:sz="0" w:space="0" w:color="auto"/>
        <w:bottom w:val="none" w:sz="0" w:space="0" w:color="auto"/>
        <w:right w:val="none" w:sz="0" w:space="0" w:color="auto"/>
      </w:divBdr>
    </w:div>
    <w:div w:id="1023097663">
      <w:bodyDiv w:val="1"/>
      <w:marLeft w:val="0"/>
      <w:marRight w:val="0"/>
      <w:marTop w:val="0"/>
      <w:marBottom w:val="0"/>
      <w:divBdr>
        <w:top w:val="none" w:sz="0" w:space="0" w:color="auto"/>
        <w:left w:val="none" w:sz="0" w:space="0" w:color="auto"/>
        <w:bottom w:val="none" w:sz="0" w:space="0" w:color="auto"/>
        <w:right w:val="none" w:sz="0" w:space="0" w:color="auto"/>
      </w:divBdr>
    </w:div>
    <w:div w:id="1032421211">
      <w:bodyDiv w:val="1"/>
      <w:marLeft w:val="0"/>
      <w:marRight w:val="0"/>
      <w:marTop w:val="0"/>
      <w:marBottom w:val="0"/>
      <w:divBdr>
        <w:top w:val="none" w:sz="0" w:space="0" w:color="auto"/>
        <w:left w:val="none" w:sz="0" w:space="0" w:color="auto"/>
        <w:bottom w:val="none" w:sz="0" w:space="0" w:color="auto"/>
        <w:right w:val="none" w:sz="0" w:space="0" w:color="auto"/>
      </w:divBdr>
    </w:div>
    <w:div w:id="1052339750">
      <w:bodyDiv w:val="1"/>
      <w:marLeft w:val="0"/>
      <w:marRight w:val="0"/>
      <w:marTop w:val="0"/>
      <w:marBottom w:val="0"/>
      <w:divBdr>
        <w:top w:val="none" w:sz="0" w:space="0" w:color="auto"/>
        <w:left w:val="none" w:sz="0" w:space="0" w:color="auto"/>
        <w:bottom w:val="none" w:sz="0" w:space="0" w:color="auto"/>
        <w:right w:val="none" w:sz="0" w:space="0" w:color="auto"/>
      </w:divBdr>
    </w:div>
    <w:div w:id="1052575605">
      <w:bodyDiv w:val="1"/>
      <w:marLeft w:val="0"/>
      <w:marRight w:val="0"/>
      <w:marTop w:val="0"/>
      <w:marBottom w:val="0"/>
      <w:divBdr>
        <w:top w:val="none" w:sz="0" w:space="0" w:color="auto"/>
        <w:left w:val="none" w:sz="0" w:space="0" w:color="auto"/>
        <w:bottom w:val="none" w:sz="0" w:space="0" w:color="auto"/>
        <w:right w:val="none" w:sz="0" w:space="0" w:color="auto"/>
      </w:divBdr>
    </w:div>
    <w:div w:id="1070614497">
      <w:bodyDiv w:val="1"/>
      <w:marLeft w:val="0"/>
      <w:marRight w:val="0"/>
      <w:marTop w:val="0"/>
      <w:marBottom w:val="0"/>
      <w:divBdr>
        <w:top w:val="none" w:sz="0" w:space="0" w:color="auto"/>
        <w:left w:val="none" w:sz="0" w:space="0" w:color="auto"/>
        <w:bottom w:val="none" w:sz="0" w:space="0" w:color="auto"/>
        <w:right w:val="none" w:sz="0" w:space="0" w:color="auto"/>
      </w:divBdr>
    </w:div>
    <w:div w:id="1114248959">
      <w:bodyDiv w:val="1"/>
      <w:marLeft w:val="0"/>
      <w:marRight w:val="0"/>
      <w:marTop w:val="0"/>
      <w:marBottom w:val="0"/>
      <w:divBdr>
        <w:top w:val="none" w:sz="0" w:space="0" w:color="auto"/>
        <w:left w:val="none" w:sz="0" w:space="0" w:color="auto"/>
        <w:bottom w:val="none" w:sz="0" w:space="0" w:color="auto"/>
        <w:right w:val="none" w:sz="0" w:space="0" w:color="auto"/>
      </w:divBdr>
    </w:div>
    <w:div w:id="1136216162">
      <w:bodyDiv w:val="1"/>
      <w:marLeft w:val="0"/>
      <w:marRight w:val="0"/>
      <w:marTop w:val="0"/>
      <w:marBottom w:val="0"/>
      <w:divBdr>
        <w:top w:val="none" w:sz="0" w:space="0" w:color="auto"/>
        <w:left w:val="none" w:sz="0" w:space="0" w:color="auto"/>
        <w:bottom w:val="none" w:sz="0" w:space="0" w:color="auto"/>
        <w:right w:val="none" w:sz="0" w:space="0" w:color="auto"/>
      </w:divBdr>
    </w:div>
    <w:div w:id="1180241629">
      <w:bodyDiv w:val="1"/>
      <w:marLeft w:val="0"/>
      <w:marRight w:val="0"/>
      <w:marTop w:val="0"/>
      <w:marBottom w:val="0"/>
      <w:divBdr>
        <w:top w:val="none" w:sz="0" w:space="0" w:color="auto"/>
        <w:left w:val="none" w:sz="0" w:space="0" w:color="auto"/>
        <w:bottom w:val="none" w:sz="0" w:space="0" w:color="auto"/>
        <w:right w:val="none" w:sz="0" w:space="0" w:color="auto"/>
      </w:divBdr>
    </w:div>
    <w:div w:id="1198197367">
      <w:bodyDiv w:val="1"/>
      <w:marLeft w:val="0"/>
      <w:marRight w:val="0"/>
      <w:marTop w:val="0"/>
      <w:marBottom w:val="0"/>
      <w:divBdr>
        <w:top w:val="none" w:sz="0" w:space="0" w:color="auto"/>
        <w:left w:val="none" w:sz="0" w:space="0" w:color="auto"/>
        <w:bottom w:val="none" w:sz="0" w:space="0" w:color="auto"/>
        <w:right w:val="none" w:sz="0" w:space="0" w:color="auto"/>
      </w:divBdr>
    </w:div>
    <w:div w:id="1225720980">
      <w:bodyDiv w:val="1"/>
      <w:marLeft w:val="0"/>
      <w:marRight w:val="0"/>
      <w:marTop w:val="0"/>
      <w:marBottom w:val="0"/>
      <w:divBdr>
        <w:top w:val="none" w:sz="0" w:space="0" w:color="auto"/>
        <w:left w:val="none" w:sz="0" w:space="0" w:color="auto"/>
        <w:bottom w:val="none" w:sz="0" w:space="0" w:color="auto"/>
        <w:right w:val="none" w:sz="0" w:space="0" w:color="auto"/>
      </w:divBdr>
    </w:div>
    <w:div w:id="1250852241">
      <w:bodyDiv w:val="1"/>
      <w:marLeft w:val="0"/>
      <w:marRight w:val="0"/>
      <w:marTop w:val="0"/>
      <w:marBottom w:val="0"/>
      <w:divBdr>
        <w:top w:val="none" w:sz="0" w:space="0" w:color="auto"/>
        <w:left w:val="none" w:sz="0" w:space="0" w:color="auto"/>
        <w:bottom w:val="none" w:sz="0" w:space="0" w:color="auto"/>
        <w:right w:val="none" w:sz="0" w:space="0" w:color="auto"/>
      </w:divBdr>
    </w:div>
    <w:div w:id="1291395983">
      <w:bodyDiv w:val="1"/>
      <w:marLeft w:val="0"/>
      <w:marRight w:val="0"/>
      <w:marTop w:val="0"/>
      <w:marBottom w:val="0"/>
      <w:divBdr>
        <w:top w:val="none" w:sz="0" w:space="0" w:color="auto"/>
        <w:left w:val="none" w:sz="0" w:space="0" w:color="auto"/>
        <w:bottom w:val="none" w:sz="0" w:space="0" w:color="auto"/>
        <w:right w:val="none" w:sz="0" w:space="0" w:color="auto"/>
      </w:divBdr>
    </w:div>
    <w:div w:id="1311522186">
      <w:bodyDiv w:val="1"/>
      <w:marLeft w:val="0"/>
      <w:marRight w:val="0"/>
      <w:marTop w:val="0"/>
      <w:marBottom w:val="0"/>
      <w:divBdr>
        <w:top w:val="none" w:sz="0" w:space="0" w:color="auto"/>
        <w:left w:val="none" w:sz="0" w:space="0" w:color="auto"/>
        <w:bottom w:val="none" w:sz="0" w:space="0" w:color="auto"/>
        <w:right w:val="none" w:sz="0" w:space="0" w:color="auto"/>
      </w:divBdr>
    </w:div>
    <w:div w:id="1312514765">
      <w:bodyDiv w:val="1"/>
      <w:marLeft w:val="0"/>
      <w:marRight w:val="0"/>
      <w:marTop w:val="0"/>
      <w:marBottom w:val="0"/>
      <w:divBdr>
        <w:top w:val="none" w:sz="0" w:space="0" w:color="auto"/>
        <w:left w:val="none" w:sz="0" w:space="0" w:color="auto"/>
        <w:bottom w:val="none" w:sz="0" w:space="0" w:color="auto"/>
        <w:right w:val="none" w:sz="0" w:space="0" w:color="auto"/>
      </w:divBdr>
    </w:div>
    <w:div w:id="1323043464">
      <w:bodyDiv w:val="1"/>
      <w:marLeft w:val="0"/>
      <w:marRight w:val="0"/>
      <w:marTop w:val="0"/>
      <w:marBottom w:val="0"/>
      <w:divBdr>
        <w:top w:val="none" w:sz="0" w:space="0" w:color="auto"/>
        <w:left w:val="none" w:sz="0" w:space="0" w:color="auto"/>
        <w:bottom w:val="none" w:sz="0" w:space="0" w:color="auto"/>
        <w:right w:val="none" w:sz="0" w:space="0" w:color="auto"/>
      </w:divBdr>
    </w:div>
    <w:div w:id="1345087193">
      <w:bodyDiv w:val="1"/>
      <w:marLeft w:val="0"/>
      <w:marRight w:val="0"/>
      <w:marTop w:val="0"/>
      <w:marBottom w:val="0"/>
      <w:divBdr>
        <w:top w:val="none" w:sz="0" w:space="0" w:color="auto"/>
        <w:left w:val="none" w:sz="0" w:space="0" w:color="auto"/>
        <w:bottom w:val="none" w:sz="0" w:space="0" w:color="auto"/>
        <w:right w:val="none" w:sz="0" w:space="0" w:color="auto"/>
      </w:divBdr>
    </w:div>
    <w:div w:id="1347439795">
      <w:bodyDiv w:val="1"/>
      <w:marLeft w:val="0"/>
      <w:marRight w:val="0"/>
      <w:marTop w:val="0"/>
      <w:marBottom w:val="0"/>
      <w:divBdr>
        <w:top w:val="none" w:sz="0" w:space="0" w:color="auto"/>
        <w:left w:val="none" w:sz="0" w:space="0" w:color="auto"/>
        <w:bottom w:val="none" w:sz="0" w:space="0" w:color="auto"/>
        <w:right w:val="none" w:sz="0" w:space="0" w:color="auto"/>
      </w:divBdr>
    </w:div>
    <w:div w:id="1360426203">
      <w:bodyDiv w:val="1"/>
      <w:marLeft w:val="0"/>
      <w:marRight w:val="0"/>
      <w:marTop w:val="0"/>
      <w:marBottom w:val="0"/>
      <w:divBdr>
        <w:top w:val="none" w:sz="0" w:space="0" w:color="auto"/>
        <w:left w:val="none" w:sz="0" w:space="0" w:color="auto"/>
        <w:bottom w:val="none" w:sz="0" w:space="0" w:color="auto"/>
        <w:right w:val="none" w:sz="0" w:space="0" w:color="auto"/>
      </w:divBdr>
    </w:div>
    <w:div w:id="1369143472">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394162257">
      <w:bodyDiv w:val="1"/>
      <w:marLeft w:val="0"/>
      <w:marRight w:val="0"/>
      <w:marTop w:val="0"/>
      <w:marBottom w:val="0"/>
      <w:divBdr>
        <w:top w:val="none" w:sz="0" w:space="0" w:color="auto"/>
        <w:left w:val="none" w:sz="0" w:space="0" w:color="auto"/>
        <w:bottom w:val="none" w:sz="0" w:space="0" w:color="auto"/>
        <w:right w:val="none" w:sz="0" w:space="0" w:color="auto"/>
      </w:divBdr>
    </w:div>
    <w:div w:id="1418675656">
      <w:bodyDiv w:val="1"/>
      <w:marLeft w:val="0"/>
      <w:marRight w:val="0"/>
      <w:marTop w:val="0"/>
      <w:marBottom w:val="0"/>
      <w:divBdr>
        <w:top w:val="none" w:sz="0" w:space="0" w:color="auto"/>
        <w:left w:val="none" w:sz="0" w:space="0" w:color="auto"/>
        <w:bottom w:val="none" w:sz="0" w:space="0" w:color="auto"/>
        <w:right w:val="none" w:sz="0" w:space="0" w:color="auto"/>
      </w:divBdr>
    </w:div>
    <w:div w:id="1457061921">
      <w:bodyDiv w:val="1"/>
      <w:marLeft w:val="0"/>
      <w:marRight w:val="0"/>
      <w:marTop w:val="0"/>
      <w:marBottom w:val="0"/>
      <w:divBdr>
        <w:top w:val="none" w:sz="0" w:space="0" w:color="auto"/>
        <w:left w:val="none" w:sz="0" w:space="0" w:color="auto"/>
        <w:bottom w:val="none" w:sz="0" w:space="0" w:color="auto"/>
        <w:right w:val="none" w:sz="0" w:space="0" w:color="auto"/>
      </w:divBdr>
    </w:div>
    <w:div w:id="1480422437">
      <w:bodyDiv w:val="1"/>
      <w:marLeft w:val="0"/>
      <w:marRight w:val="0"/>
      <w:marTop w:val="0"/>
      <w:marBottom w:val="0"/>
      <w:divBdr>
        <w:top w:val="none" w:sz="0" w:space="0" w:color="auto"/>
        <w:left w:val="none" w:sz="0" w:space="0" w:color="auto"/>
        <w:bottom w:val="none" w:sz="0" w:space="0" w:color="auto"/>
        <w:right w:val="none" w:sz="0" w:space="0" w:color="auto"/>
      </w:divBdr>
    </w:div>
    <w:div w:id="1485126390">
      <w:bodyDiv w:val="1"/>
      <w:marLeft w:val="0"/>
      <w:marRight w:val="0"/>
      <w:marTop w:val="0"/>
      <w:marBottom w:val="0"/>
      <w:divBdr>
        <w:top w:val="none" w:sz="0" w:space="0" w:color="auto"/>
        <w:left w:val="none" w:sz="0" w:space="0" w:color="auto"/>
        <w:bottom w:val="none" w:sz="0" w:space="0" w:color="auto"/>
        <w:right w:val="none" w:sz="0" w:space="0" w:color="auto"/>
      </w:divBdr>
    </w:div>
    <w:div w:id="1531456169">
      <w:bodyDiv w:val="1"/>
      <w:marLeft w:val="0"/>
      <w:marRight w:val="0"/>
      <w:marTop w:val="0"/>
      <w:marBottom w:val="0"/>
      <w:divBdr>
        <w:top w:val="none" w:sz="0" w:space="0" w:color="auto"/>
        <w:left w:val="none" w:sz="0" w:space="0" w:color="auto"/>
        <w:bottom w:val="none" w:sz="0" w:space="0" w:color="auto"/>
        <w:right w:val="none" w:sz="0" w:space="0" w:color="auto"/>
      </w:divBdr>
    </w:div>
    <w:div w:id="1550799354">
      <w:bodyDiv w:val="1"/>
      <w:marLeft w:val="0"/>
      <w:marRight w:val="0"/>
      <w:marTop w:val="0"/>
      <w:marBottom w:val="0"/>
      <w:divBdr>
        <w:top w:val="none" w:sz="0" w:space="0" w:color="auto"/>
        <w:left w:val="none" w:sz="0" w:space="0" w:color="auto"/>
        <w:bottom w:val="none" w:sz="0" w:space="0" w:color="auto"/>
        <w:right w:val="none" w:sz="0" w:space="0" w:color="auto"/>
      </w:divBdr>
    </w:div>
    <w:div w:id="1575823919">
      <w:bodyDiv w:val="1"/>
      <w:marLeft w:val="0"/>
      <w:marRight w:val="0"/>
      <w:marTop w:val="0"/>
      <w:marBottom w:val="0"/>
      <w:divBdr>
        <w:top w:val="none" w:sz="0" w:space="0" w:color="auto"/>
        <w:left w:val="none" w:sz="0" w:space="0" w:color="auto"/>
        <w:bottom w:val="none" w:sz="0" w:space="0" w:color="auto"/>
        <w:right w:val="none" w:sz="0" w:space="0" w:color="auto"/>
      </w:divBdr>
    </w:div>
    <w:div w:id="1577474179">
      <w:bodyDiv w:val="1"/>
      <w:marLeft w:val="0"/>
      <w:marRight w:val="0"/>
      <w:marTop w:val="0"/>
      <w:marBottom w:val="0"/>
      <w:divBdr>
        <w:top w:val="none" w:sz="0" w:space="0" w:color="auto"/>
        <w:left w:val="none" w:sz="0" w:space="0" w:color="auto"/>
        <w:bottom w:val="none" w:sz="0" w:space="0" w:color="auto"/>
        <w:right w:val="none" w:sz="0" w:space="0" w:color="auto"/>
      </w:divBdr>
    </w:div>
    <w:div w:id="1612281264">
      <w:bodyDiv w:val="1"/>
      <w:marLeft w:val="0"/>
      <w:marRight w:val="0"/>
      <w:marTop w:val="0"/>
      <w:marBottom w:val="0"/>
      <w:divBdr>
        <w:top w:val="none" w:sz="0" w:space="0" w:color="auto"/>
        <w:left w:val="none" w:sz="0" w:space="0" w:color="auto"/>
        <w:bottom w:val="none" w:sz="0" w:space="0" w:color="auto"/>
        <w:right w:val="none" w:sz="0" w:space="0" w:color="auto"/>
      </w:divBdr>
    </w:div>
    <w:div w:id="1615672141">
      <w:bodyDiv w:val="1"/>
      <w:marLeft w:val="0"/>
      <w:marRight w:val="0"/>
      <w:marTop w:val="0"/>
      <w:marBottom w:val="0"/>
      <w:divBdr>
        <w:top w:val="none" w:sz="0" w:space="0" w:color="auto"/>
        <w:left w:val="none" w:sz="0" w:space="0" w:color="auto"/>
        <w:bottom w:val="none" w:sz="0" w:space="0" w:color="auto"/>
        <w:right w:val="none" w:sz="0" w:space="0" w:color="auto"/>
      </w:divBdr>
    </w:div>
    <w:div w:id="1661497327">
      <w:bodyDiv w:val="1"/>
      <w:marLeft w:val="0"/>
      <w:marRight w:val="0"/>
      <w:marTop w:val="0"/>
      <w:marBottom w:val="0"/>
      <w:divBdr>
        <w:top w:val="none" w:sz="0" w:space="0" w:color="auto"/>
        <w:left w:val="none" w:sz="0" w:space="0" w:color="auto"/>
        <w:bottom w:val="none" w:sz="0" w:space="0" w:color="auto"/>
        <w:right w:val="none" w:sz="0" w:space="0" w:color="auto"/>
      </w:divBdr>
    </w:div>
    <w:div w:id="1662542799">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43020316">
      <w:bodyDiv w:val="1"/>
      <w:marLeft w:val="0"/>
      <w:marRight w:val="0"/>
      <w:marTop w:val="0"/>
      <w:marBottom w:val="0"/>
      <w:divBdr>
        <w:top w:val="none" w:sz="0" w:space="0" w:color="auto"/>
        <w:left w:val="none" w:sz="0" w:space="0" w:color="auto"/>
        <w:bottom w:val="none" w:sz="0" w:space="0" w:color="auto"/>
        <w:right w:val="none" w:sz="0" w:space="0" w:color="auto"/>
      </w:divBdr>
    </w:div>
    <w:div w:id="1756049253">
      <w:bodyDiv w:val="1"/>
      <w:marLeft w:val="0"/>
      <w:marRight w:val="0"/>
      <w:marTop w:val="0"/>
      <w:marBottom w:val="0"/>
      <w:divBdr>
        <w:top w:val="none" w:sz="0" w:space="0" w:color="auto"/>
        <w:left w:val="none" w:sz="0" w:space="0" w:color="auto"/>
        <w:bottom w:val="none" w:sz="0" w:space="0" w:color="auto"/>
        <w:right w:val="none" w:sz="0" w:space="0" w:color="auto"/>
      </w:divBdr>
    </w:div>
    <w:div w:id="1769811516">
      <w:bodyDiv w:val="1"/>
      <w:marLeft w:val="0"/>
      <w:marRight w:val="0"/>
      <w:marTop w:val="0"/>
      <w:marBottom w:val="0"/>
      <w:divBdr>
        <w:top w:val="none" w:sz="0" w:space="0" w:color="auto"/>
        <w:left w:val="none" w:sz="0" w:space="0" w:color="auto"/>
        <w:bottom w:val="none" w:sz="0" w:space="0" w:color="auto"/>
        <w:right w:val="none" w:sz="0" w:space="0" w:color="auto"/>
      </w:divBdr>
    </w:div>
    <w:div w:id="1820270443">
      <w:bodyDiv w:val="1"/>
      <w:marLeft w:val="0"/>
      <w:marRight w:val="0"/>
      <w:marTop w:val="0"/>
      <w:marBottom w:val="0"/>
      <w:divBdr>
        <w:top w:val="none" w:sz="0" w:space="0" w:color="auto"/>
        <w:left w:val="none" w:sz="0" w:space="0" w:color="auto"/>
        <w:bottom w:val="none" w:sz="0" w:space="0" w:color="auto"/>
        <w:right w:val="none" w:sz="0" w:space="0" w:color="auto"/>
      </w:divBdr>
    </w:div>
    <w:div w:id="1822499104">
      <w:bodyDiv w:val="1"/>
      <w:marLeft w:val="0"/>
      <w:marRight w:val="0"/>
      <w:marTop w:val="0"/>
      <w:marBottom w:val="0"/>
      <w:divBdr>
        <w:top w:val="none" w:sz="0" w:space="0" w:color="auto"/>
        <w:left w:val="none" w:sz="0" w:space="0" w:color="auto"/>
        <w:bottom w:val="none" w:sz="0" w:space="0" w:color="auto"/>
        <w:right w:val="none" w:sz="0" w:space="0" w:color="auto"/>
      </w:divBdr>
    </w:div>
    <w:div w:id="1833065545">
      <w:bodyDiv w:val="1"/>
      <w:marLeft w:val="0"/>
      <w:marRight w:val="0"/>
      <w:marTop w:val="0"/>
      <w:marBottom w:val="0"/>
      <w:divBdr>
        <w:top w:val="none" w:sz="0" w:space="0" w:color="auto"/>
        <w:left w:val="none" w:sz="0" w:space="0" w:color="auto"/>
        <w:bottom w:val="none" w:sz="0" w:space="0" w:color="auto"/>
        <w:right w:val="none" w:sz="0" w:space="0" w:color="auto"/>
      </w:divBdr>
    </w:div>
    <w:div w:id="1873302794">
      <w:bodyDiv w:val="1"/>
      <w:marLeft w:val="0"/>
      <w:marRight w:val="0"/>
      <w:marTop w:val="0"/>
      <w:marBottom w:val="0"/>
      <w:divBdr>
        <w:top w:val="none" w:sz="0" w:space="0" w:color="auto"/>
        <w:left w:val="none" w:sz="0" w:space="0" w:color="auto"/>
        <w:bottom w:val="none" w:sz="0" w:space="0" w:color="auto"/>
        <w:right w:val="none" w:sz="0" w:space="0" w:color="auto"/>
      </w:divBdr>
    </w:div>
    <w:div w:id="1889954236">
      <w:bodyDiv w:val="1"/>
      <w:marLeft w:val="0"/>
      <w:marRight w:val="0"/>
      <w:marTop w:val="0"/>
      <w:marBottom w:val="0"/>
      <w:divBdr>
        <w:top w:val="none" w:sz="0" w:space="0" w:color="auto"/>
        <w:left w:val="none" w:sz="0" w:space="0" w:color="auto"/>
        <w:bottom w:val="none" w:sz="0" w:space="0" w:color="auto"/>
        <w:right w:val="none" w:sz="0" w:space="0" w:color="auto"/>
      </w:divBdr>
    </w:div>
    <w:div w:id="1970014515">
      <w:bodyDiv w:val="1"/>
      <w:marLeft w:val="0"/>
      <w:marRight w:val="0"/>
      <w:marTop w:val="0"/>
      <w:marBottom w:val="0"/>
      <w:divBdr>
        <w:top w:val="none" w:sz="0" w:space="0" w:color="auto"/>
        <w:left w:val="none" w:sz="0" w:space="0" w:color="auto"/>
        <w:bottom w:val="none" w:sz="0" w:space="0" w:color="auto"/>
        <w:right w:val="none" w:sz="0" w:space="0" w:color="auto"/>
      </w:divBdr>
    </w:div>
    <w:div w:id="2018924435">
      <w:bodyDiv w:val="1"/>
      <w:marLeft w:val="0"/>
      <w:marRight w:val="0"/>
      <w:marTop w:val="0"/>
      <w:marBottom w:val="0"/>
      <w:divBdr>
        <w:top w:val="none" w:sz="0" w:space="0" w:color="auto"/>
        <w:left w:val="none" w:sz="0" w:space="0" w:color="auto"/>
        <w:bottom w:val="none" w:sz="0" w:space="0" w:color="auto"/>
        <w:right w:val="none" w:sz="0" w:space="0" w:color="auto"/>
      </w:divBdr>
    </w:div>
    <w:div w:id="2036299140">
      <w:bodyDiv w:val="1"/>
      <w:marLeft w:val="0"/>
      <w:marRight w:val="0"/>
      <w:marTop w:val="0"/>
      <w:marBottom w:val="0"/>
      <w:divBdr>
        <w:top w:val="none" w:sz="0" w:space="0" w:color="auto"/>
        <w:left w:val="none" w:sz="0" w:space="0" w:color="auto"/>
        <w:bottom w:val="none" w:sz="0" w:space="0" w:color="auto"/>
        <w:right w:val="none" w:sz="0" w:space="0" w:color="auto"/>
      </w:divBdr>
    </w:div>
    <w:div w:id="2037726707">
      <w:bodyDiv w:val="1"/>
      <w:marLeft w:val="0"/>
      <w:marRight w:val="0"/>
      <w:marTop w:val="0"/>
      <w:marBottom w:val="0"/>
      <w:divBdr>
        <w:top w:val="none" w:sz="0" w:space="0" w:color="auto"/>
        <w:left w:val="none" w:sz="0" w:space="0" w:color="auto"/>
        <w:bottom w:val="none" w:sz="0" w:space="0" w:color="auto"/>
        <w:right w:val="none" w:sz="0" w:space="0" w:color="auto"/>
      </w:divBdr>
    </w:div>
    <w:div w:id="2042852464">
      <w:bodyDiv w:val="1"/>
      <w:marLeft w:val="0"/>
      <w:marRight w:val="0"/>
      <w:marTop w:val="0"/>
      <w:marBottom w:val="0"/>
      <w:divBdr>
        <w:top w:val="none" w:sz="0" w:space="0" w:color="auto"/>
        <w:left w:val="none" w:sz="0" w:space="0" w:color="auto"/>
        <w:bottom w:val="none" w:sz="0" w:space="0" w:color="auto"/>
        <w:right w:val="none" w:sz="0" w:space="0" w:color="auto"/>
      </w:divBdr>
    </w:div>
    <w:div w:id="2062053048">
      <w:bodyDiv w:val="1"/>
      <w:marLeft w:val="0"/>
      <w:marRight w:val="0"/>
      <w:marTop w:val="0"/>
      <w:marBottom w:val="0"/>
      <w:divBdr>
        <w:top w:val="none" w:sz="0" w:space="0" w:color="auto"/>
        <w:left w:val="none" w:sz="0" w:space="0" w:color="auto"/>
        <w:bottom w:val="none" w:sz="0" w:space="0" w:color="auto"/>
        <w:right w:val="none" w:sz="0" w:space="0" w:color="auto"/>
      </w:divBdr>
    </w:div>
    <w:div w:id="2069642786">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 w:id="214573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uments-dds-ny.un.org/doc/UNDOC/GEN/G20/063/88/PDF/G2006388.pdf?OpenElement" TargetMode="External"/><Relationship Id="rId13" Type="http://schemas.openxmlformats.org/officeDocument/2006/relationships/hyperlink" Target="https://docstore.ohchr.org/SelfServices/FilesHandler.ashx?enc=6QkG1d%2fPPRiCAqhKb7yhsvTvWdCiXbcdHJgod%2f48UvVLFjvw69pQaqdk3icKuqRzUXTOu9Jkdgy7484z0GiSTkXAAbmzZQRDft4dHK6kwj%2b88PsBa5U52YlaA437rBzH" TargetMode="External"/><Relationship Id="rId18" Type="http://schemas.openxmlformats.org/officeDocument/2006/relationships/hyperlink" Target="https://documents-dds-ny.un.org/doc/UNDOC/GEN/G18/249/75/PDF/G1824975.pdf?OpenElement" TargetMode="External"/><Relationship Id="rId26" Type="http://schemas.openxmlformats.org/officeDocument/2006/relationships/hyperlink" Target="https://undocs.org/A/HRC/44/7" TargetMode="External"/><Relationship Id="rId3" Type="http://schemas.openxmlformats.org/officeDocument/2006/relationships/styles" Target="styles.xml"/><Relationship Id="rId21" Type="http://schemas.openxmlformats.org/officeDocument/2006/relationships/hyperlink" Target="https://ap.ohchr.org/documents/dpage_e.aspx?si=A/HRC/39/69/Add.2" TargetMode="External"/><Relationship Id="rId7" Type="http://schemas.openxmlformats.org/officeDocument/2006/relationships/endnotes" Target="endnotes.xml"/><Relationship Id="rId12" Type="http://schemas.openxmlformats.org/officeDocument/2006/relationships/hyperlink" Target="https://docstore.ohchr.org/SelfServices/FilesHandler.ashx?enc=4slQ6QSmlBEDzFEovLCuW1SKyxvprlxEitT1iPv5tsG80ELH30lp%2bURW%2fv0pMkQcf61TicGbfUD%2bE8x0cF6WYYM778UpzlrUblhJ9r0bs0EL2J7qf7UtzVrUrdKNocu0" TargetMode="External"/><Relationship Id="rId17" Type="http://schemas.openxmlformats.org/officeDocument/2006/relationships/hyperlink" Target="https://undocs.org/en/A/HRC/43/47/Add.1" TargetMode="External"/><Relationship Id="rId25" Type="http://schemas.openxmlformats.org/officeDocument/2006/relationships/hyperlink" Target="https://docstore.ohchr.org/SelfServices/FilesHandler.ashx?enc=6QkG1d%2fPPRiCAqhKb7yhsvTvWdCiXbcdHJgod%2f48UvVLFjvw69pQaqdk3icKuqRzUXTOu9Jkdgy7484z0GiSTkXAAbmzZQRDft4dHK6kwj%2b88PsBa5U52YlaA437rBzH"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ocstore.ohchr.org/SelfServices/FilesHandler.ashx?enc=6QkG1d%2fPPRiCAqhKb7yhsvTvWdCiXbcdHJgod%2f48UvVLFjvw69pQaqdk3icKuqRzUXTOu9Jkdgy7484z0GiSTkXAAbmzZQRDft4dHK6kwj%2b88PsBa5U52YlaA437rBzH" TargetMode="External"/><Relationship Id="rId20" Type="http://schemas.openxmlformats.org/officeDocument/2006/relationships/hyperlink" Target="https://www.ohchr.org/EN/NewsEvents/Pages/DisplayNews.aspx?NewsID=24629&amp;LangID=E" TargetMode="External"/><Relationship Id="rId29" Type="http://schemas.openxmlformats.org/officeDocument/2006/relationships/hyperlink" Target="https://www.ohchr.org/EN/NewsEvents/Pages/DisplayNews.aspx?NewsID=23849&amp;LangI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tore.ohchr.org/SelfServices/FilesHandler.ashx?enc=6QkG1d%2fPPRiCAqhKb7yhslxq2MulDp%2fqMKQ6SGOn0%2fM2iqPHauvLINGLuCsnFfZ4vRELH5%2fNh4FYriSa2QosgVLtPe7xxuafZSKDf63JRE4qOZsttCjcy7vU3%2bj%2fDsuv" TargetMode="External"/><Relationship Id="rId24" Type="http://schemas.openxmlformats.org/officeDocument/2006/relationships/hyperlink" Target="https://docstore.ohchr.org/SelfServices/FilesHandler.ashx?enc=6QkG1d%2fPPRiCAqhKb7yhslxq2MulDp%2fqMKQ6SGOn0%2fM2iqPHauvLINGLuCsnFfZ4vRELH5%2fNh4FYriSa2QosgVLtPe7xxuafZSKDf63JRE4qOZsttCjcy7vU3%2bj%2fDsuv"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ndocs.org/A/HRC/44/7" TargetMode="External"/><Relationship Id="rId23" Type="http://schemas.openxmlformats.org/officeDocument/2006/relationships/hyperlink" Target="https://undocs.org/A/HRC/44/7/Add.1" TargetMode="External"/><Relationship Id="rId28" Type="http://schemas.openxmlformats.org/officeDocument/2006/relationships/hyperlink" Target="https://documents-dds-ny.un.org/doc/UNDOC/GEN/G18/249/75/PDF/G1824975.pdf?OpenElement" TargetMode="External"/><Relationship Id="rId10" Type="http://schemas.openxmlformats.org/officeDocument/2006/relationships/hyperlink" Target="https://docstore.ohchr.org/SelfServices/FilesHandler.ashx?enc=6QkG1d%2fPPRiCAqhKb7yhsvTvWdCiXbcdHJgod%2f48UvVLFjvw69pQaqdk3icKuqRzUXTOu9Jkdgy7484z0GiSTkXAAbmzZQRDft4dHK6kwj%2b88PsBa5U52YlaA437rBzH" TargetMode="External"/><Relationship Id="rId19" Type="http://schemas.openxmlformats.org/officeDocument/2006/relationships/hyperlink" Target="https://tbinternet.ohchr.org/_layouts/15/treatybodyexternal/Download.aspx?symbolno=CCPR/C/125/D/2657/2015&amp;Lang=en"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tore.ohchr.org/SelfServices/FilesHandler.ashx?enc=6QkG1d%2fPPRiCAqhKb7yhslxq2MulDp%2fqMKQ6SGOn0%2fM2iqPHauvLINGLuCsnFfZ4vRELH5%2fNh4FYriSa2QosgVLtPe7xxuafZSKDf63JRE4qOZsttCjcy7vU3%2bj%2fDsuv" TargetMode="External"/><Relationship Id="rId14" Type="http://schemas.openxmlformats.org/officeDocument/2006/relationships/hyperlink" Target="https://undocs.org/A/HRC/44/7" TargetMode="External"/><Relationship Id="rId22" Type="http://schemas.openxmlformats.org/officeDocument/2006/relationships/hyperlink" Target="https://undocs.org/A/HRC/44/7" TargetMode="External"/><Relationship Id="rId27" Type="http://schemas.openxmlformats.org/officeDocument/2006/relationships/hyperlink" Target="https://undocs.org/A/HRC/44/7/Add.1" TargetMode="External"/><Relationship Id="rId30" Type="http://schemas.openxmlformats.org/officeDocument/2006/relationships/hyperlink" Target="http://www.ohchr.org/EN/NewsEvents/Pages/DisplayNews.aspx?NewsID=26806&amp;LangID=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B3FE1-9325-4B2B-A78B-6694722FB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3106</Words>
  <Characters>17709</Characters>
  <Application>Microsoft Office Word</Application>
  <DocSecurity>0</DocSecurity>
  <Lines>147</Lines>
  <Paragraphs>41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Marie-Dominique</cp:lastModifiedBy>
  <cp:revision>5</cp:revision>
  <dcterms:created xsi:type="dcterms:W3CDTF">2021-03-03T22:37:00Z</dcterms:created>
  <dcterms:modified xsi:type="dcterms:W3CDTF">2021-03-03T23:11:00Z</dcterms:modified>
</cp:coreProperties>
</file>